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6A" w:rsidRPr="0043076A" w:rsidRDefault="0043076A" w:rsidP="004307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СФЕРИ ТИМЧАСОВОЇ ТРУДОВОЇ ДІЯЛЬНОСТІ ПЕРШОКУРСНИКІВ</w:t>
      </w:r>
    </w:p>
    <w:p w:rsidR="0043076A" w:rsidRPr="0043076A" w:rsidRDefault="0043076A" w:rsidP="0043076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076A" w:rsidRPr="0043076A" w:rsidRDefault="0043076A" w:rsidP="0043076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Марчик В. І.</w:t>
      </w:r>
    </w:p>
    <w:p w:rsidR="0043076A" w:rsidRPr="0043076A" w:rsidRDefault="0043076A" w:rsidP="0043076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Криворізький державний педагогічний університет</w:t>
      </w:r>
    </w:p>
    <w:p w:rsidR="0043076A" w:rsidRPr="0043076A" w:rsidRDefault="0043076A" w:rsidP="0043076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Анотація.</w:t>
      </w: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дослідженні тимчасової трудової діяльності студентів денної форми навчання закладу вищої освіти виявлено, що в сфері майбутньої спеціальності задіяно 58% першокурсників, які навчаються за спеціальністю Середня освіта (Фізична культура) з додатковою спеціалізацією «Спортивний туризм» (в інших сферах 23%) і 14% першокурсників, які навчаються за спеціальністю Середня освіта (Біологія) з додатковою спеціалізацією «Хімія» (в інших сферах 37%). Сфера фізичної культури і спорту на відмінну від інших педагогічних спеціальностей надає більш широкі можливості для тимчасового працевлаштування студентів.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Ключові слова:</w:t>
      </w: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студент, трудова діяльність, фізична культура.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Поєднувати навчання у закладі вищої освіти з тимчасовою нетривалою оплачуваною роботою, яка відбувається у позанавчальний час, для студентства у всі часи є звичайною практикою. </w:t>
      </w: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>Спрямування діяльності студента у позанавчальний час є його вільним вибором. В зв’язку з тим, що трудова діяльність вимагає затрат певних годин, енергії та часу на її відновлення, ступень якості навчального процесу знижується. Якщо раніше студенти вдавалися до підробіток у канікулярні періоди навчального процесу, то с появою в системі освіти контрактної форми навчання трудова діяльність набула більш значимого сенсу. На сьогодення є фактом, що дистанційна форма навчання розширює межі можливого суміщення навчальної і трудової діяльності, оскільки не вимагає фізичної присутності студента.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>Феномен працюючого студента в сучасній Україні стає дуже поширеним. Спостереження багатьох авторів та експертів, які вдалося отримати з 2000 року показали, що не менше половини студентів старших курсів денного відділення закладів вищої освіти були зайняті на відносно регулярну оплачувану працю. За останні п’ять років частка студентів, які працюють у час навчання, істотно не змінилася і коливається в інтервалі 30–40% [3].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Сучасна тенденція студентства поєднувати навчання з трудовою діяльністю може мати як позитивні, так і негативні наслідки: зрілість і економічна автономія, з одного боку, та втрата системності й послідовності набуття професійних знань ‒ з іншого. Це може призвести до зниження якості професійних компетентностей та до девальвації сутності вищої освіти загалом. Показано, що студенти чітко розуміють негативний вплив такого поєднання на якість формування їх професійних навичок [2].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9F2F4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роботі досліджено, що близько 90-99% студентів денної форми навчання не мають можливості покращити своє матеріальне становище шляхом оформлення на оплачувану роботу у навчальному закладі, де вони навчаються. Кожний студент шукає можливість тимчасового підробітку самотужки та індивідуально поза межами свого навчального закладу. Автори пропонують </w:t>
      </w:r>
      <w:r w:rsidRPr="004307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створення такої підприємницької структури, яка, з одного боку, відслідковує, збирає та акумулює в собі заявки від юридичних та фізичних осіб щодо певних тимчасових видів роботи, а з іншого боку, формує свою базу даних із числа студентів, що бажають попрацювати за оплату [1].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роботи стало виявлення сфери тимчасового працевлаштування у позанавчальний час студентів, які навчаються на 1 курсі денного відділення закладу вищої освіти.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076A">
        <w:rPr>
          <w:rFonts w:ascii="Times New Roman" w:hAnsi="Times New Roman"/>
          <w:color w:val="000000" w:themeColor="text1"/>
          <w:sz w:val="28"/>
          <w:szCs w:val="28"/>
          <w:lang w:val="uk-UA"/>
        </w:rPr>
        <w:t>В досліджені, що було організовано в Криворізькому державному педагогічному університеті у березні 2021 року, взяли участь студенти-першокурсники природничого факультету: 24 особи, які навчаються за спеціальністю Середня освіта (Фізична культура) з додатковою спеціалізацією «Спортивний туризм» (ФК) і 16 осіб ‒ Середня освіта (Біологія) з додатковою спеціалізацією «Хімія» (БХ). В роботі використано метод опитування через використання гул форми. На ствердження «у позанавчальний час я працюю» запропоновано три варіанти відповідей: у сфері майбутньої професії, інших сферах, не працюю. Показники відповідей для аналізу перераховані у відсотки.</w:t>
      </w:r>
    </w:p>
    <w:p w:rsidR="0043076A" w:rsidRPr="0043076A" w:rsidRDefault="0043076A" w:rsidP="00430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076A" w:rsidRPr="0043076A" w:rsidRDefault="0043076A" w:rsidP="0043076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Fonts w:ascii="Times New Roman" w:hAnsi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4807527" cy="2653146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076A" w:rsidRPr="0043076A" w:rsidRDefault="0043076A" w:rsidP="0043076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Fonts w:ascii="Times New Roman" w:hAnsi="Times New Roman"/>
          <w:sz w:val="28"/>
          <w:szCs w:val="28"/>
          <w:lang w:val="uk-UA"/>
        </w:rPr>
        <w:t>Рис. 1. Сфери трудової діяльності студентів (у відсотках).</w:t>
      </w:r>
    </w:p>
    <w:p w:rsidR="0043076A" w:rsidRPr="0043076A" w:rsidRDefault="0043076A" w:rsidP="0043076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Fonts w:ascii="Times New Roman" w:hAnsi="Times New Roman"/>
          <w:sz w:val="28"/>
          <w:szCs w:val="28"/>
          <w:lang w:val="uk-UA"/>
        </w:rPr>
        <w:t>Аналіз отриманих результатів показав, що в сфері фізичної культури і спорту тимчасовою діяльністю з метою отримання доходу задіяно 58% студентів, в той час як в сфері педагогіки або діяльності, що пов’язана з біологією і хімією ‒ 14% (рис.1). Задіяних у трудовій діяльності в сферах, що не відносяться до майбутньої професії, в групі майбутніх вчителів фізичної культури виявилося 23%, в групі майбутніх вчителів біології і хімії ‒ 37%. Не працюючих студентів в групі ФК зафіксовано трохи менше п’ятої части (19%), в групі БХ ‒ трохи менше половини (49%).</w:t>
      </w:r>
    </w:p>
    <w:p w:rsidR="0043076A" w:rsidRPr="0043076A" w:rsidRDefault="0043076A" w:rsidP="00430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Fonts w:ascii="Times New Roman" w:hAnsi="Times New Roman"/>
          <w:sz w:val="28"/>
          <w:szCs w:val="28"/>
          <w:lang w:val="uk-UA"/>
        </w:rPr>
        <w:t xml:space="preserve">Отже, в трудовій діяльності у позанавчальний час задіяно 81% першокурсників, які навчаються за спеціальністю Середня освіта (Фізична культура) з додатковою спеціалізацією «Спортивний туризм» (із них 58% за майбутньою спеціальністю) і 51% першокурсників, які навчаються за спеціальністю Середня освіта (Біологія) з додатковою спеціалізацією «Хімія» </w:t>
      </w:r>
      <w:r w:rsidRPr="0043076A">
        <w:rPr>
          <w:rFonts w:ascii="Times New Roman" w:hAnsi="Times New Roman"/>
          <w:sz w:val="28"/>
          <w:szCs w:val="28"/>
          <w:lang w:val="uk-UA"/>
        </w:rPr>
        <w:lastRenderedPageBreak/>
        <w:t>(із них 14% за майбутньою спеціальністю). Встановлено, що сфера фізичної культури і спорту на відмінну від інших педагогічних спеціальностей надає більш широкі можливості для тимчасового працевлаштування студентів.</w:t>
      </w:r>
    </w:p>
    <w:p w:rsidR="0043076A" w:rsidRPr="0043076A" w:rsidRDefault="0043076A" w:rsidP="004307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076A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43076A" w:rsidRPr="0043076A" w:rsidRDefault="0043076A" w:rsidP="0043076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Зайцев О. В., </w:t>
      </w:r>
      <w:proofErr w:type="spellStart"/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Дворянова</w:t>
      </w:r>
      <w:proofErr w:type="spellEnd"/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Т. В. Підробіток для студентства денної форми навчання. </w:t>
      </w:r>
      <w:r w:rsidRPr="0043076A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uk-UA"/>
        </w:rPr>
        <w:t>Вісник Сумського державного університету. Серія Економіка</w:t>
      </w:r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 2020. № 4. С. 44−51. DOI: 10.21272/1817-9215.2020.4-6.</w:t>
      </w:r>
    </w:p>
    <w:p w:rsidR="0043076A" w:rsidRPr="0043076A" w:rsidRDefault="0043076A" w:rsidP="00430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URL: </w:t>
      </w:r>
      <w:hyperlink r:id="rId6" w:history="1">
        <w:r w:rsidRPr="0043076A">
          <w:rPr>
            <w:rStyle w:val="a5"/>
            <w:rFonts w:ascii="Times New Roman" w:hAnsi="Times New Roman"/>
            <w:sz w:val="28"/>
            <w:szCs w:val="28"/>
            <w:shd w:val="clear" w:color="auto" w:fill="F9F2F4"/>
            <w:lang w:val="uk-UA"/>
          </w:rPr>
          <w:t>https://essuir.sumdu.edu.ua/handle/123456789/81749</w:t>
        </w:r>
      </w:hyperlink>
      <w:r w:rsidRPr="0043076A">
        <w:rPr>
          <w:rFonts w:ascii="Times New Roman" w:hAnsi="Times New Roman"/>
          <w:color w:val="C7254E"/>
          <w:sz w:val="28"/>
          <w:szCs w:val="28"/>
          <w:shd w:val="clear" w:color="auto" w:fill="F9F2F4"/>
          <w:lang w:val="uk-UA"/>
        </w:rPr>
        <w:t xml:space="preserve"> </w:t>
      </w:r>
    </w:p>
    <w:p w:rsidR="0043076A" w:rsidRPr="0043076A" w:rsidRDefault="0043076A" w:rsidP="0043076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  <w:lang w:val="uk-UA"/>
        </w:rPr>
      </w:pPr>
      <w:proofErr w:type="spellStart"/>
      <w:r w:rsidRPr="0043076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Корчакова</w:t>
      </w:r>
      <w:proofErr w:type="spellEnd"/>
      <w:r w:rsidRPr="0043076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Н. </w:t>
      </w:r>
      <w:r w:rsidRPr="0043076A">
        <w:rPr>
          <w:rFonts w:ascii="Times New Roman" w:hAnsi="Times New Roman"/>
          <w:bCs/>
          <w:kern w:val="36"/>
          <w:sz w:val="28"/>
          <w:szCs w:val="28"/>
          <w:lang w:val="uk-UA"/>
        </w:rPr>
        <w:t>Поєднання освітньої та трудової діяльності як реалізація прагнення студентської молоді до економічної сепарації.</w:t>
      </w:r>
    </w:p>
    <w:p w:rsidR="0043076A" w:rsidRPr="0043076A" w:rsidRDefault="0043076A" w:rsidP="004307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076A">
        <w:rPr>
          <w:rStyle w:val="label"/>
          <w:rFonts w:ascii="Times New Roman" w:hAnsi="Times New Roman"/>
          <w:sz w:val="28"/>
          <w:szCs w:val="28"/>
          <w:shd w:val="clear" w:color="auto" w:fill="FFFFFF"/>
          <w:lang w:val="uk-UA"/>
        </w:rPr>
        <w:t>DOI:</w:t>
      </w:r>
      <w:r w:rsidRPr="0043076A">
        <w:rPr>
          <w:rStyle w:val="label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43076A">
          <w:rPr>
            <w:rStyle w:val="a5"/>
            <w:rFonts w:ascii="Times New Roman" w:hAnsi="Times New Roman"/>
            <w:color w:val="007AB2"/>
            <w:sz w:val="28"/>
            <w:szCs w:val="28"/>
            <w:lang w:val="uk-UA"/>
          </w:rPr>
          <w:t>https://doi.org/10.31392/NPU-nc.series12.2021.13(58).06</w:t>
        </w:r>
      </w:hyperlink>
    </w:p>
    <w:p w:rsidR="0043076A" w:rsidRPr="0043076A" w:rsidRDefault="0043076A" w:rsidP="0043076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Мішина</w:t>
      </w:r>
      <w:proofErr w:type="spellEnd"/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 М. М. </w:t>
      </w:r>
      <w:proofErr w:type="spellStart"/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Коцар</w:t>
      </w:r>
      <w:proofErr w:type="spellEnd"/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 О. В. Проблеми працюючих студентів-медиків. </w:t>
      </w:r>
      <w:r w:rsidRPr="0043076A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>Навчальний процес як запорука забезпечення якості вищої медичної освіти</w:t>
      </w:r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 2020. С. 130</w:t>
      </w:r>
      <w:r w:rsidRPr="00430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−</w:t>
      </w:r>
      <w:r w:rsidRPr="0043076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131.</w:t>
      </w:r>
    </w:p>
    <w:p w:rsidR="0042305C" w:rsidRPr="0043076A" w:rsidRDefault="0091064A" w:rsidP="0042305C">
      <w:pPr>
        <w:spacing w:after="0" w:line="240" w:lineRule="auto"/>
        <w:jc w:val="both"/>
        <w:rPr>
          <w:lang w:val="uk-UA"/>
        </w:rPr>
      </w:pPr>
      <w:r w:rsidRPr="0043076A">
        <w:rPr>
          <w:lang w:val="uk-UA"/>
        </w:rPr>
        <w:t xml:space="preserve"> </w:t>
      </w:r>
    </w:p>
    <w:sectPr w:rsidR="0042305C" w:rsidRPr="0043076A" w:rsidSect="00CC19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02EB"/>
    <w:multiLevelType w:val="hybridMultilevel"/>
    <w:tmpl w:val="5BC62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948"/>
    <w:rsid w:val="002D39D0"/>
    <w:rsid w:val="003D18D2"/>
    <w:rsid w:val="0042305C"/>
    <w:rsid w:val="0043076A"/>
    <w:rsid w:val="005B179E"/>
    <w:rsid w:val="00677DD5"/>
    <w:rsid w:val="007542B0"/>
    <w:rsid w:val="0081702F"/>
    <w:rsid w:val="00845333"/>
    <w:rsid w:val="0091064A"/>
    <w:rsid w:val="00B27A18"/>
    <w:rsid w:val="00CC1948"/>
    <w:rsid w:val="00D56CDA"/>
    <w:rsid w:val="00D86183"/>
    <w:rsid w:val="00E77CAC"/>
    <w:rsid w:val="00F6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6A"/>
    <w:pPr>
      <w:spacing w:after="200" w:afterAutospacing="0"/>
      <w:ind w:firstLine="0"/>
    </w:pPr>
    <w:rPr>
      <w:rFonts w:ascii="Calibri" w:eastAsia="Calibri" w:hAnsi="Calibri" w:cs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05C"/>
    <w:rPr>
      <w:rFonts w:ascii="Tahoma" w:hAnsi="Tahoma" w:cs="Tahoma"/>
      <w:sz w:val="16"/>
      <w:szCs w:val="16"/>
      <w:lang w:val="uk-UA"/>
    </w:rPr>
  </w:style>
  <w:style w:type="character" w:styleId="a5">
    <w:name w:val="Hyperlink"/>
    <w:uiPriority w:val="99"/>
    <w:unhideWhenUsed/>
    <w:rsid w:val="004307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076A"/>
    <w:pPr>
      <w:ind w:left="720"/>
      <w:contextualSpacing/>
    </w:pPr>
    <w:rPr>
      <w:rFonts w:eastAsia="Times New Roman"/>
      <w:lang w:eastAsia="ru-RU"/>
    </w:rPr>
  </w:style>
  <w:style w:type="character" w:customStyle="1" w:styleId="label">
    <w:name w:val="label"/>
    <w:basedOn w:val="a0"/>
    <w:rsid w:val="0043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1392/NPU-nc.series12.2021.13(58).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suir.sumdu.edu.ua/handle/123456789/81749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ФК-20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У сфері  майбутньої професії</c:v>
                </c:pt>
                <c:pt idx="1">
                  <c:v>Інших сферах</c:v>
                </c:pt>
                <c:pt idx="2">
                  <c:v>Не працюю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23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БХ-20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У сфері  майбутньої професії</c:v>
                </c:pt>
                <c:pt idx="1">
                  <c:v>Інших сферах</c:v>
                </c:pt>
                <c:pt idx="2">
                  <c:v>Не працюю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37</c:v>
                </c:pt>
                <c:pt idx="2">
                  <c:v>49</c:v>
                </c:pt>
              </c:numCache>
            </c:numRef>
          </c:val>
        </c:ser>
        <c:axId val="105922560"/>
        <c:axId val="105925248"/>
      </c:barChart>
      <c:catAx>
        <c:axId val="10592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105925248"/>
        <c:crosses val="autoZero"/>
        <c:auto val="1"/>
        <c:lblAlgn val="ctr"/>
        <c:lblOffset val="100"/>
      </c:catAx>
      <c:valAx>
        <c:axId val="105925248"/>
        <c:scaling>
          <c:orientation val="minMax"/>
        </c:scaling>
        <c:axPos val="l"/>
        <c:numFmt formatCode="General" sourceLinked="1"/>
        <c:tickLblPos val="nextTo"/>
        <c:crossAx val="105922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21262543725538"/>
          <c:y val="0.19379068001115249"/>
          <c:w val="0.14705838656960399"/>
          <c:h val="0.33158835914741613"/>
        </c:manualLayout>
      </c:layout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2021-03-31T10:15:00Z</dcterms:created>
  <dcterms:modified xsi:type="dcterms:W3CDTF">2021-04-15T07:59:00Z</dcterms:modified>
</cp:coreProperties>
</file>