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BC" w:rsidRPr="001534BC" w:rsidRDefault="001534BC" w:rsidP="001534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34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Секция 8. </w:t>
      </w:r>
      <w:proofErr w:type="spellStart"/>
      <w:r w:rsidRPr="001534BC">
        <w:rPr>
          <w:rFonts w:ascii="Times New Roman" w:hAnsi="Times New Roman" w:cs="Times New Roman"/>
          <w:b/>
          <w:sz w:val="28"/>
          <w:szCs w:val="28"/>
          <w:lang w:val="en-US"/>
        </w:rPr>
        <w:t>Varia</w:t>
      </w:r>
      <w:proofErr w:type="spellEnd"/>
    </w:p>
    <w:p w:rsidR="001534BC" w:rsidRPr="001534BC" w:rsidRDefault="001534BC" w:rsidP="00052A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34BC">
        <w:rPr>
          <w:rFonts w:ascii="Times New Roman" w:hAnsi="Times New Roman" w:cs="Times New Roman"/>
          <w:b/>
          <w:sz w:val="28"/>
          <w:szCs w:val="28"/>
          <w:lang w:val="ru-RU"/>
        </w:rPr>
        <w:t>Смешанное обучение</w:t>
      </w:r>
      <w:r w:rsidR="00E0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52A10">
        <w:rPr>
          <w:rFonts w:ascii="Times New Roman" w:hAnsi="Times New Roman" w:cs="Times New Roman"/>
          <w:b/>
          <w:sz w:val="28"/>
          <w:szCs w:val="28"/>
          <w:lang w:val="ru-RU"/>
        </w:rPr>
        <w:t>в системе</w:t>
      </w:r>
      <w:r w:rsidR="00E0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инклюзивного об</w:t>
      </w:r>
      <w:r w:rsidR="00052A10">
        <w:rPr>
          <w:rFonts w:ascii="Times New Roman" w:hAnsi="Times New Roman" w:cs="Times New Roman"/>
          <w:b/>
          <w:sz w:val="28"/>
          <w:szCs w:val="28"/>
          <w:lang w:val="ru-RU"/>
        </w:rPr>
        <w:t>разования</w:t>
      </w:r>
      <w:r w:rsidR="00E031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студентов с ограниченными физическими возможностями</w:t>
      </w:r>
    </w:p>
    <w:p w:rsidR="001534BC" w:rsidRPr="001534BC" w:rsidRDefault="001534BC" w:rsidP="00153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34BC" w:rsidRPr="00674DD9" w:rsidRDefault="001534BC" w:rsidP="00674D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4DD9">
        <w:rPr>
          <w:rFonts w:ascii="Times New Roman" w:hAnsi="Times New Roman" w:cs="Times New Roman"/>
          <w:b/>
          <w:sz w:val="28"/>
          <w:szCs w:val="28"/>
          <w:lang w:val="ru-RU"/>
        </w:rPr>
        <w:t>Е. В. </w:t>
      </w:r>
      <w:proofErr w:type="spellStart"/>
      <w:r w:rsidRPr="00674DD9">
        <w:rPr>
          <w:rFonts w:ascii="Times New Roman" w:hAnsi="Times New Roman" w:cs="Times New Roman"/>
          <w:b/>
          <w:sz w:val="28"/>
          <w:szCs w:val="28"/>
          <w:lang w:val="ru-RU"/>
        </w:rPr>
        <w:t>Польгун</w:t>
      </w:r>
      <w:proofErr w:type="spellEnd"/>
      <w:r w:rsidRPr="00674D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Аспирантка,</w:t>
      </w:r>
    </w:p>
    <w:p w:rsidR="001534BC" w:rsidRPr="00674DD9" w:rsidRDefault="001534BC" w:rsidP="00674D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4DD9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Государственное высшее учебное заведение «Криворожский национальный университет»;</w:t>
      </w:r>
    </w:p>
    <w:p w:rsidR="001534BC" w:rsidRPr="00674DD9" w:rsidRDefault="001534BC" w:rsidP="00674D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4D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г. </w:t>
      </w:r>
      <w:r w:rsidR="00674DD9" w:rsidRPr="00674DD9">
        <w:rPr>
          <w:rFonts w:ascii="Times New Roman" w:hAnsi="Times New Roman" w:cs="Times New Roman"/>
          <w:b/>
          <w:sz w:val="28"/>
          <w:szCs w:val="28"/>
          <w:lang w:val="ru-RU"/>
        </w:rPr>
        <w:t>Кривой Рог, Украина</w:t>
      </w:r>
    </w:p>
    <w:p w:rsidR="001534BC" w:rsidRPr="001534BC" w:rsidRDefault="001534BC" w:rsidP="00153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34BC" w:rsidRPr="009A12F9" w:rsidRDefault="001534BC" w:rsidP="00153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075A">
        <w:rPr>
          <w:rFonts w:ascii="Times New Roman" w:hAnsi="Times New Roman" w:cs="Times New Roman"/>
          <w:b/>
          <w:sz w:val="28"/>
          <w:szCs w:val="28"/>
          <w:lang w:val="en-US"/>
        </w:rPr>
        <w:t>Summary</w:t>
      </w:r>
      <w:r w:rsidRPr="0073075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1534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2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12F9">
        <w:rPr>
          <w:rFonts w:ascii="Times New Roman" w:hAnsi="Times New Roman" w:cs="Times New Roman"/>
          <w:sz w:val="28"/>
          <w:szCs w:val="28"/>
          <w:lang w:val="en-US"/>
        </w:rPr>
        <w:t>In the article b</w:t>
      </w:r>
      <w:r w:rsidR="009A12F9" w:rsidRPr="009A12F9">
        <w:rPr>
          <w:rFonts w:ascii="Times New Roman" w:hAnsi="Times New Roman" w:cs="Times New Roman"/>
          <w:sz w:val="28"/>
          <w:szCs w:val="28"/>
          <w:lang w:val="en-US"/>
        </w:rPr>
        <w:t xml:space="preserve">lended learning </w:t>
      </w:r>
      <w:r w:rsidR="009A12F9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9A12F9" w:rsidRPr="009A12F9">
        <w:rPr>
          <w:rFonts w:ascii="Times New Roman" w:hAnsi="Times New Roman" w:cs="Times New Roman"/>
          <w:sz w:val="28"/>
          <w:szCs w:val="28"/>
          <w:lang w:val="en-US"/>
        </w:rPr>
        <w:t xml:space="preserve">considered the most promising model of inclusive education. </w:t>
      </w:r>
      <w:r w:rsidR="009A12F9">
        <w:rPr>
          <w:rFonts w:ascii="Times New Roman" w:hAnsi="Times New Roman" w:cs="Times New Roman"/>
          <w:sz w:val="28"/>
          <w:szCs w:val="28"/>
          <w:lang w:val="en-US"/>
        </w:rPr>
        <w:t>It is i</w:t>
      </w:r>
      <w:r w:rsidR="009A12F9" w:rsidRPr="009A12F9">
        <w:rPr>
          <w:rFonts w:ascii="Times New Roman" w:hAnsi="Times New Roman" w:cs="Times New Roman"/>
          <w:sz w:val="28"/>
          <w:szCs w:val="28"/>
          <w:lang w:val="en-US"/>
        </w:rPr>
        <w:t xml:space="preserve">nvestigated its advantages relative to people with disabilities. </w:t>
      </w:r>
      <w:r w:rsidR="009A12F9">
        <w:rPr>
          <w:rFonts w:ascii="Times New Roman" w:hAnsi="Times New Roman" w:cs="Times New Roman"/>
          <w:sz w:val="28"/>
          <w:szCs w:val="28"/>
          <w:lang w:val="en-US"/>
        </w:rPr>
        <w:t>It is d</w:t>
      </w:r>
      <w:r w:rsidR="009A12F9" w:rsidRPr="009A12F9">
        <w:rPr>
          <w:rFonts w:ascii="Times New Roman" w:hAnsi="Times New Roman" w:cs="Times New Roman"/>
          <w:sz w:val="28"/>
          <w:szCs w:val="28"/>
          <w:lang w:val="en-US"/>
        </w:rPr>
        <w:t>efined its c</w:t>
      </w:r>
      <w:r w:rsidR="009A12F9">
        <w:rPr>
          <w:rFonts w:ascii="Times New Roman" w:hAnsi="Times New Roman" w:cs="Times New Roman"/>
          <w:sz w:val="28"/>
          <w:szCs w:val="28"/>
          <w:lang w:val="en-US"/>
        </w:rPr>
        <w:t>haracteristics and didactic tool</w:t>
      </w:r>
      <w:r w:rsidR="009A12F9" w:rsidRPr="009A12F9"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:rsidR="001534BC" w:rsidRPr="009A12F9" w:rsidRDefault="001534BC" w:rsidP="00153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075A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 w:rsidRPr="009A12F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9A12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2F9">
        <w:rPr>
          <w:rFonts w:ascii="Times New Roman" w:hAnsi="Times New Roman" w:cs="Times New Roman"/>
          <w:sz w:val="28"/>
          <w:szCs w:val="28"/>
          <w:lang w:val="en-US"/>
        </w:rPr>
        <w:t>inclusive education, student</w:t>
      </w:r>
      <w:r w:rsidR="009A12F9" w:rsidRPr="009A12F9">
        <w:rPr>
          <w:rFonts w:ascii="Times New Roman" w:hAnsi="Times New Roman" w:cs="Times New Roman"/>
          <w:sz w:val="28"/>
          <w:szCs w:val="28"/>
          <w:lang w:val="en-US"/>
        </w:rPr>
        <w:t xml:space="preserve"> with disabilities, blended learning, e-learning, distance learning, mobile learning.</w:t>
      </w:r>
    </w:p>
    <w:p w:rsidR="00674DD9" w:rsidRPr="009A12F9" w:rsidRDefault="00674DD9" w:rsidP="00153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2F9C" w:rsidRPr="00092F9C" w:rsidRDefault="00092F9C" w:rsidP="00092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Инклюзивное образование предполагает обеспечение реализации основного права каждого гражданина на образование 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через создание</w:t>
      </w:r>
      <w:r w:rsidR="00F67D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надлежащих условий и удовлетворение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разнообразных образовательных потребностей людей в пределах 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учебных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заведений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общего типа. В Украине система инклюзивного образования только начинает развиваться. Поэтому особенно актуальной становится проблема поиска путей внедрения инклюзивного обучения в деятельность учебных заведений, в</w:t>
      </w:r>
      <w:r w:rsidR="00F67D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том числе высших, и обеспечения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эффективн</w:t>
      </w:r>
      <w:r w:rsidR="00F67D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ости функционирования д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анной системы.</w:t>
      </w:r>
    </w:p>
    <w:p w:rsidR="00092F9C" w:rsidRPr="00092F9C" w:rsidRDefault="001D5295" w:rsidP="00092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Сегодня наиболее перспективной</w:t>
      </w:r>
      <w:r w:rsidR="00F67D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признана</w:t>
      </w:r>
      <w:r w:rsidR="00092F9C"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модель интеграции традиционного и дистанционного, электронного, мобильного обучения (смешанное обучение). Так, рассматривая процесс интеграции традиционного и дистанционного обучения, Е. </w:t>
      </w:r>
      <w:proofErr w:type="spellStart"/>
      <w:r w:rsidR="00092F9C"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Полат</w:t>
      </w:r>
      <w:proofErr w:type="spellEnd"/>
      <w:r w:rsidR="00092F9C"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подчеркивает: «Основная идея </w:t>
      </w:r>
      <w:r w:rsidR="003965E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состоит</w:t>
      </w:r>
      <w:r w:rsidR="00092F9C"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том, чтобы в демократическом обществе человек имел возможность в разные периоды своей жизни при изменении условий </w:t>
      </w:r>
      <w:r w:rsidR="00092F9C"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выбрать ту форму образования, </w:t>
      </w:r>
      <w:r w:rsidR="003965E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которая в данный</w:t>
      </w:r>
      <w:r w:rsidR="00092F9C"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9A12F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момент </w:t>
      </w:r>
      <w:r w:rsidR="003965E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наиболее отвечает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его возможностям и интересам</w:t>
      </w:r>
      <w:r w:rsidR="00092F9C"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092F9C"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[1, с. 11-12].</w:t>
      </w:r>
    </w:p>
    <w:p w:rsidR="00092F9C" w:rsidRPr="00092F9C" w:rsidRDefault="00092F9C" w:rsidP="00092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Для студентов с ограниченными физическими возможностями традиционное (аудиторн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ое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) обучение создает условия для социального взаимодействия, поэтому не приходится говорить о потерях в сфере коммуникативных умений, 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что </w:t>
      </w:r>
      <w:r w:rsidR="009A12F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часто у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поминают ученые как недостаток использования компьютерной техники в процессе обучения. Дистанционное обучение позволяет изменять темп, время и место учебы, обеспечивает гибкость и удобство обучения для студентов указанной категории. Преимуществами электронного обучения, в том числе для студентов с нарушением здоровья, явля</w:t>
      </w:r>
      <w:r w:rsidR="009A12F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ю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тся открытость доступа к электронным учебным ресурсам с помощью сети Интернет, индивидуализация обучения, осуществляе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мая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путем предоставления студентам возможности выбирать средства самообучения, способы получения учебных материалов с учетом их предпочтений и возможностей. Мобильное обучение, по сравнению с электронным и ди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станционным, более интерактивно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создает условия для более оперативной обратной связи с преподавателем, имеет больше возможностей в выборе технических средств для его реализации, основными из которых являются </w:t>
      </w:r>
      <w:proofErr w:type="spellStart"/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нетбу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ки</w:t>
      </w:r>
      <w:proofErr w:type="spellEnd"/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планшеты, </w:t>
      </w:r>
      <w:proofErr w:type="spellStart"/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аудиопроигрыватели</w:t>
      </w:r>
      <w:proofErr w:type="spellEnd"/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дл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 записи и прослушивания лекций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электронные книги, мобильные тел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ефоны, смартфоны и т. п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092F9C" w:rsidRPr="00092F9C" w:rsidRDefault="00092F9C" w:rsidP="00092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Интеграция элементов дистанционного обучения студентов с ограниченными физическими возможностями с традиционным имеет свои специфические черты. Апеллируя к исследованию Е. </w:t>
      </w:r>
      <w:proofErr w:type="spellStart"/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Полат</w:t>
      </w:r>
      <w:proofErr w:type="spellEnd"/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можем утверждать, что при внедрении элементов дистанционного обучения в учебный процесс обычных студентов преподаватель самостоятельно может распределить темы или разделы курса на те, которые необходимо рассмотреть в аудитории на лекции, семинаре или практическом занятии под его непосредственным руководством, и те,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которые требуют 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индивидуальной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тренировки, самостоятельной познавательной деятельности, самостоятельной исследовательской деятельности студентов в условиях дистанционного обучения [1, с. 77]. Во время обучения студентов с особыми потребностями элементы дистанционного обучения целесообразно использовать прежде всего тогда, когда студенты указанной категории не имеют возможности посетить занятия. Соответственно, сложность организации дистанционного обучения таких студентов заключается в том, что преподаватель часто не 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может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предугадать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когда именно 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у 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студент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ов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 нарушением здоровья 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возникнет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нем потребность. Поэтому материалы для дистанционного обучения должны быть в определенной степени универсальными и стать аналогом аудиторного курса, однако ориентированным на самостоятельную проработку.</w:t>
      </w:r>
    </w:p>
    <w:p w:rsidR="00092F9C" w:rsidRPr="00092F9C" w:rsidRDefault="00092F9C" w:rsidP="00092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Среди средств, способных обеспечить реализацию модел</w:t>
      </w:r>
      <w:r w:rsidR="00F67D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смешанного обучения</w:t>
      </w:r>
      <w:r w:rsidR="009A12F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F67D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Н. </w:t>
      </w:r>
      <w:proofErr w:type="spellStart"/>
      <w:r w:rsidR="00F67D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Рашевс</w:t>
      </w: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</w:t>
      </w:r>
      <w:r w:rsidR="001D52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</w:t>
      </w:r>
      <w:proofErr w:type="spellEnd"/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называет книги, пособия (бумажные и электронные), компьютерные, сетевые учебные материалы, аудио-, видео-, учебно-информационные материалы, тренажеры для отработки навыков и умений, электронные библиотеки [2].</w:t>
      </w:r>
    </w:p>
    <w:p w:rsidR="00BC627B" w:rsidRPr="00092F9C" w:rsidRDefault="00092F9C" w:rsidP="00092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2F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Итак, одним из условий эффективности организации инклюзивного обучения студентов с ограниченными физическими возможностями является комплексное использование технологий традиционного и дистанционного, электронного, мобильного обучения.</w:t>
      </w:r>
    </w:p>
    <w:p w:rsidR="00BC627B" w:rsidRPr="00E12080" w:rsidRDefault="00E12080" w:rsidP="00BC62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Библиографический список</w:t>
      </w:r>
    </w:p>
    <w:p w:rsidR="00642F57" w:rsidRPr="00BC627B" w:rsidRDefault="003965E3" w:rsidP="00BC627B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</w:t>
      </w:r>
      <w:r w:rsidR="00642F57" w:rsidRPr="00BC62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едагогические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642F57" w:rsidRPr="00BC62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технологии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дистанционного обучения : у</w:t>
      </w:r>
      <w:r w:rsidR="00642F57" w:rsidRPr="00BC62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чеб. пособие для студ.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высш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 учеб. заведений</w:t>
      </w:r>
      <w:r w:rsidR="00642F57" w:rsidRPr="00BC62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/ Е. С. </w:t>
      </w:r>
      <w:proofErr w:type="spellStart"/>
      <w:r w:rsidR="00642F57" w:rsidRPr="00BC62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Полат</w:t>
      </w:r>
      <w:proofErr w:type="spellEnd"/>
      <w:r w:rsidR="00642F57" w:rsidRPr="00BC62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М. В. Моисеева, А. Е. Петров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и др. </w:t>
      </w:r>
      <w:r w:rsidR="00642F57" w:rsidRPr="00BC62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;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под ред. Е. С. 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Полат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  <w:r w:rsidR="00642F57" w:rsidRPr="00BC62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– М. : Изд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ательский центр «Академия», 2006</w:t>
      </w:r>
      <w:r w:rsidR="00642F57" w:rsidRPr="00BC62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–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400</w:t>
      </w:r>
      <w:r w:rsidR="00642F57" w:rsidRPr="00BC627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с.</w:t>
      </w:r>
    </w:p>
    <w:p w:rsidR="004B6D86" w:rsidRDefault="00642F57" w:rsidP="00BC627B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Рашевська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 Н. В</w:t>
      </w:r>
      <w:r w:rsidRPr="005964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Мобільні інформаційно-комунікаційні технології навчання вищої математики студентів вищих технічних навчальних закладів</w:t>
      </w:r>
      <w:r w:rsidRPr="00596406">
        <w:rPr>
          <w:rFonts w:ascii="Times New Roman" w:hAnsi="Times New Roman" w:cs="Times New Roman"/>
          <w:sz w:val="28"/>
          <w:szCs w:val="28"/>
        </w:rPr>
        <w:t xml:space="preserve"> : дис. … канд. пед. наук : 13.00.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96406">
        <w:rPr>
          <w:rFonts w:ascii="Times New Roman" w:hAnsi="Times New Roman" w:cs="Times New Roman"/>
          <w:sz w:val="28"/>
          <w:szCs w:val="28"/>
        </w:rPr>
        <w:t xml:space="preserve">0 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Рашевська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Наталя Василівна</w:t>
      </w:r>
      <w:r w:rsidRPr="00596406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К.</w:t>
      </w:r>
      <w:r w:rsidRPr="00596406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96406">
        <w:rPr>
          <w:rFonts w:ascii="Times New Roman" w:hAnsi="Times New Roman" w:cs="Times New Roman"/>
          <w:sz w:val="28"/>
          <w:szCs w:val="28"/>
        </w:rPr>
        <w:t xml:space="preserve">. – </w:t>
      </w:r>
      <w:r w:rsidRPr="000078F1">
        <w:rPr>
          <w:rFonts w:ascii="Times New Roman" w:hAnsi="Times New Roman" w:cs="Times New Roman"/>
          <w:sz w:val="28"/>
          <w:szCs w:val="28"/>
        </w:rPr>
        <w:t>305 с.</w:t>
      </w:r>
    </w:p>
    <w:p w:rsidR="004B6D86" w:rsidRPr="00E12080" w:rsidRDefault="004B6D86" w:rsidP="004B6D8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Заявка на участие</w:t>
      </w:r>
    </w:p>
    <w:p w:rsidR="004B6D86" w:rsidRPr="0010126D" w:rsidRDefault="004B6D86" w:rsidP="004B6D8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126D">
        <w:rPr>
          <w:rFonts w:ascii="Times New Roman" w:hAnsi="Times New Roman" w:cs="Times New Roman"/>
          <w:b/>
          <w:sz w:val="28"/>
          <w:szCs w:val="28"/>
          <w:lang w:val="ru-RU"/>
        </w:rPr>
        <w:t>в V международной научно-практической конференции</w:t>
      </w:r>
    </w:p>
    <w:p w:rsidR="004B6D86" w:rsidRPr="0010126D" w:rsidRDefault="004B6D86" w:rsidP="004B6D8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126D">
        <w:rPr>
          <w:rFonts w:ascii="Times New Roman" w:hAnsi="Times New Roman" w:cs="Times New Roman"/>
          <w:b/>
          <w:sz w:val="28"/>
          <w:szCs w:val="28"/>
          <w:lang w:val="ru-RU"/>
        </w:rPr>
        <w:t>«Проблемы и перспективы развития профессионального образования в XXI веке»</w:t>
      </w:r>
    </w:p>
    <w:p w:rsidR="004B6D86" w:rsidRPr="0010126D" w:rsidRDefault="004B6D86" w:rsidP="004B6D86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Look w:val="04A0"/>
      </w:tblPr>
      <w:tblGrid>
        <w:gridCol w:w="4609"/>
        <w:gridCol w:w="4678"/>
      </w:tblGrid>
      <w:tr w:rsidR="004B6D86" w:rsidRPr="0010126D" w:rsidTr="00BD45E3">
        <w:tc>
          <w:tcPr>
            <w:tcW w:w="4785" w:type="dxa"/>
          </w:tcPr>
          <w:p w:rsidR="004B6D86" w:rsidRPr="0010126D" w:rsidRDefault="004B6D86" w:rsidP="00BD4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 имя, отчество на русском; имя и фамилия на английском</w:t>
            </w:r>
          </w:p>
        </w:tc>
        <w:tc>
          <w:tcPr>
            <w:tcW w:w="4786" w:type="dxa"/>
          </w:tcPr>
          <w:p w:rsidR="004B6D86" w:rsidRPr="0010126D" w:rsidRDefault="004B6D86" w:rsidP="00BD45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Польгун</w:t>
            </w:r>
            <w:proofErr w:type="spellEnd"/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Екатерина Вячеславовна;</w:t>
            </w:r>
          </w:p>
          <w:p w:rsidR="004B6D86" w:rsidRPr="0010126D" w:rsidRDefault="004B6D86" w:rsidP="00BD45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Polgun</w:t>
            </w:r>
            <w:proofErr w:type="spellEnd"/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Kateryna</w:t>
            </w:r>
            <w:proofErr w:type="spellEnd"/>
          </w:p>
        </w:tc>
      </w:tr>
      <w:tr w:rsidR="004B6D86" w:rsidRPr="0010126D" w:rsidTr="00BD45E3">
        <w:tc>
          <w:tcPr>
            <w:tcW w:w="4785" w:type="dxa"/>
          </w:tcPr>
          <w:p w:rsidR="004B6D86" w:rsidRPr="0010126D" w:rsidRDefault="004B6D86" w:rsidP="00BD4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Ученая степень, специальность</w:t>
            </w:r>
          </w:p>
        </w:tc>
        <w:tc>
          <w:tcPr>
            <w:tcW w:w="4786" w:type="dxa"/>
          </w:tcPr>
          <w:p w:rsidR="004B6D86" w:rsidRPr="0010126D" w:rsidRDefault="004B6D86" w:rsidP="00BD45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4B6D86" w:rsidRPr="0010126D" w:rsidTr="00BD45E3">
        <w:tc>
          <w:tcPr>
            <w:tcW w:w="4785" w:type="dxa"/>
          </w:tcPr>
          <w:p w:rsidR="004B6D86" w:rsidRPr="0010126D" w:rsidRDefault="004B6D86" w:rsidP="00BD4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Ученое звание</w:t>
            </w:r>
          </w:p>
        </w:tc>
        <w:tc>
          <w:tcPr>
            <w:tcW w:w="4786" w:type="dxa"/>
          </w:tcPr>
          <w:p w:rsidR="004B6D86" w:rsidRPr="0010126D" w:rsidRDefault="004B6D86" w:rsidP="00BD45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4B6D86" w:rsidRPr="0010126D" w:rsidTr="00BD45E3">
        <w:tc>
          <w:tcPr>
            <w:tcW w:w="4785" w:type="dxa"/>
          </w:tcPr>
          <w:p w:rsidR="004B6D86" w:rsidRPr="0010126D" w:rsidRDefault="004B6D86" w:rsidP="00BD4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 учебы</w:t>
            </w:r>
          </w:p>
        </w:tc>
        <w:tc>
          <w:tcPr>
            <w:tcW w:w="4786" w:type="dxa"/>
          </w:tcPr>
          <w:p w:rsidR="004B6D86" w:rsidRPr="0010126D" w:rsidRDefault="004B6D86" w:rsidP="00BD45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Криворожский педагогический институт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высше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 учебного</w:t>
            </w: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заведени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«Криворож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ский национальный университет»; </w:t>
            </w: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аспирантка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кафедры педагогики</w:t>
            </w:r>
          </w:p>
        </w:tc>
      </w:tr>
      <w:tr w:rsidR="004B6D86" w:rsidRPr="0010126D" w:rsidTr="00BD45E3">
        <w:tc>
          <w:tcPr>
            <w:tcW w:w="4785" w:type="dxa"/>
          </w:tcPr>
          <w:p w:rsidR="004B6D86" w:rsidRPr="0010126D" w:rsidRDefault="004B6D86" w:rsidP="00BD4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4786" w:type="dxa"/>
          </w:tcPr>
          <w:p w:rsidR="004B6D86" w:rsidRPr="0010126D" w:rsidRDefault="004B6D86" w:rsidP="00BD45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4B6D86" w:rsidRPr="0010126D" w:rsidTr="00BD45E3">
        <w:tc>
          <w:tcPr>
            <w:tcW w:w="4785" w:type="dxa"/>
          </w:tcPr>
          <w:p w:rsidR="004B6D86" w:rsidRPr="0010126D" w:rsidRDefault="004B6D86" w:rsidP="00BD4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Домашний адрес с индексом</w:t>
            </w:r>
          </w:p>
        </w:tc>
        <w:tc>
          <w:tcPr>
            <w:tcW w:w="4786" w:type="dxa"/>
          </w:tcPr>
          <w:p w:rsidR="004B6D86" w:rsidRPr="0010126D" w:rsidRDefault="004B6D86" w:rsidP="00BD45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126D">
              <w:rPr>
                <w:rFonts w:ascii="Times New Roman" w:hAnsi="Times New Roman" w:cs="Times New Roman"/>
                <w:sz w:val="28"/>
                <w:szCs w:val="28"/>
              </w:rPr>
              <w:t>50023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обл.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Днепропетровская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proofErr w:type="spellStart"/>
            <w:r w:rsidRPr="0010126D">
              <w:rPr>
                <w:rFonts w:ascii="Times New Roman" w:hAnsi="Times New Roman" w:cs="Times New Roman"/>
                <w:sz w:val="28"/>
                <w:szCs w:val="28"/>
              </w:rPr>
              <w:t>Рог</w:t>
            </w:r>
            <w:proofErr w:type="spellEnd"/>
            <w:r w:rsidRPr="001012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126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10126D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spellStart"/>
            <w:r w:rsidRPr="0010126D">
              <w:rPr>
                <w:rFonts w:ascii="Times New Roman" w:hAnsi="Times New Roman" w:cs="Times New Roman"/>
                <w:sz w:val="28"/>
                <w:szCs w:val="28"/>
              </w:rPr>
              <w:t>Черкасская</w:t>
            </w:r>
            <w:proofErr w:type="spellEnd"/>
            <w:r w:rsidRPr="0010126D">
              <w:rPr>
                <w:rFonts w:ascii="Times New Roman" w:hAnsi="Times New Roman" w:cs="Times New Roman"/>
                <w:sz w:val="28"/>
                <w:szCs w:val="28"/>
              </w:rPr>
              <w:t>, д. 14</w:t>
            </w:r>
          </w:p>
        </w:tc>
      </w:tr>
      <w:tr w:rsidR="004B6D86" w:rsidRPr="0010126D" w:rsidTr="00BD45E3">
        <w:tc>
          <w:tcPr>
            <w:tcW w:w="4785" w:type="dxa"/>
          </w:tcPr>
          <w:p w:rsidR="004B6D86" w:rsidRPr="0010126D" w:rsidRDefault="004B6D86" w:rsidP="00BD4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Сотовый телефон</w:t>
            </w:r>
          </w:p>
        </w:tc>
        <w:tc>
          <w:tcPr>
            <w:tcW w:w="4786" w:type="dxa"/>
          </w:tcPr>
          <w:p w:rsidR="004B6D86" w:rsidRPr="0010126D" w:rsidRDefault="004B6D86" w:rsidP="00BD45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B6D86" w:rsidRPr="0010126D" w:rsidTr="00BD45E3">
        <w:tc>
          <w:tcPr>
            <w:tcW w:w="4785" w:type="dxa"/>
          </w:tcPr>
          <w:p w:rsidR="004B6D86" w:rsidRPr="0010126D" w:rsidRDefault="004B6D86" w:rsidP="00BD4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Е-mail</w:t>
            </w:r>
            <w:proofErr w:type="spellEnd"/>
          </w:p>
        </w:tc>
        <w:tc>
          <w:tcPr>
            <w:tcW w:w="4786" w:type="dxa"/>
          </w:tcPr>
          <w:p w:rsidR="004B6D86" w:rsidRPr="0010126D" w:rsidRDefault="004B6D86" w:rsidP="00BD45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12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polgun@kdpu.edu.ua</w:t>
            </w:r>
          </w:p>
        </w:tc>
      </w:tr>
      <w:tr w:rsidR="004B6D86" w:rsidRPr="0010126D" w:rsidTr="00BD45E3">
        <w:tc>
          <w:tcPr>
            <w:tcW w:w="4785" w:type="dxa"/>
          </w:tcPr>
          <w:p w:rsidR="004B6D86" w:rsidRPr="0010126D" w:rsidRDefault="004B6D86" w:rsidP="00BD45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Согласен с публикацией статьи на сайте «</w:t>
            </w:r>
            <w:proofErr w:type="spellStart"/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Социосфера</w:t>
            </w:r>
            <w:proofErr w:type="spellEnd"/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до выхода сборника из печати </w:t>
            </w:r>
            <w:r w:rsidRPr="001012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Да/нет</w:t>
            </w:r>
          </w:p>
        </w:tc>
        <w:tc>
          <w:tcPr>
            <w:tcW w:w="4786" w:type="dxa"/>
          </w:tcPr>
          <w:p w:rsidR="004B6D86" w:rsidRPr="0010126D" w:rsidRDefault="004B6D86" w:rsidP="00BD45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1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</w:tr>
    </w:tbl>
    <w:p w:rsidR="00BB69CE" w:rsidRPr="004B6D86" w:rsidRDefault="00BB69CE" w:rsidP="004B6D8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B69CE" w:rsidRPr="004B6D86" w:rsidSect="001534B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E07E0"/>
    <w:multiLevelType w:val="hybridMultilevel"/>
    <w:tmpl w:val="A1C6C1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compat/>
  <w:rsids>
    <w:rsidRoot w:val="001534BC"/>
    <w:rsid w:val="00052A10"/>
    <w:rsid w:val="00092F9C"/>
    <w:rsid w:val="001534BC"/>
    <w:rsid w:val="001D5295"/>
    <w:rsid w:val="00315A43"/>
    <w:rsid w:val="003965E3"/>
    <w:rsid w:val="003B643F"/>
    <w:rsid w:val="00407FA2"/>
    <w:rsid w:val="004B6D86"/>
    <w:rsid w:val="00517C66"/>
    <w:rsid w:val="00552209"/>
    <w:rsid w:val="00642F57"/>
    <w:rsid w:val="00662358"/>
    <w:rsid w:val="00674DD9"/>
    <w:rsid w:val="006C50B4"/>
    <w:rsid w:val="0073075A"/>
    <w:rsid w:val="00801BA6"/>
    <w:rsid w:val="00816E5F"/>
    <w:rsid w:val="008B410A"/>
    <w:rsid w:val="009A12F9"/>
    <w:rsid w:val="00B277E7"/>
    <w:rsid w:val="00BB69CE"/>
    <w:rsid w:val="00BC115E"/>
    <w:rsid w:val="00BC627B"/>
    <w:rsid w:val="00C063A3"/>
    <w:rsid w:val="00D018E5"/>
    <w:rsid w:val="00D124EE"/>
    <w:rsid w:val="00D832F6"/>
    <w:rsid w:val="00E03103"/>
    <w:rsid w:val="00E12080"/>
    <w:rsid w:val="00F15016"/>
    <w:rsid w:val="00F67DA5"/>
    <w:rsid w:val="00F95164"/>
    <w:rsid w:val="00FB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F57"/>
    <w:pPr>
      <w:ind w:left="720"/>
      <w:contextualSpacing/>
    </w:pPr>
  </w:style>
  <w:style w:type="table" w:styleId="a4">
    <w:name w:val="Table Grid"/>
    <w:basedOn w:val="a1"/>
    <w:uiPriority w:val="59"/>
    <w:rsid w:val="004B6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3752</Words>
  <Characters>2139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Polgun</dc:creator>
  <cp:keywords/>
  <dc:description/>
  <cp:lastModifiedBy>Polgun</cp:lastModifiedBy>
  <cp:revision>23</cp:revision>
  <cp:lastPrinted>2015-02-23T06:58:00Z</cp:lastPrinted>
  <dcterms:created xsi:type="dcterms:W3CDTF">2015-02-20T15:11:00Z</dcterms:created>
  <dcterms:modified xsi:type="dcterms:W3CDTF">2015-02-26T18:01:00Z</dcterms:modified>
</cp:coreProperties>
</file>