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11" w:rsidRDefault="008C6211" w:rsidP="00DF78C2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uk-UA" w:eastAsia="ar-SA"/>
        </w:rPr>
      </w:pPr>
      <w:r>
        <w:rPr>
          <w:rFonts w:ascii="Times New Roman" w:eastAsia="Calibri" w:hAnsi="Times New Roman" w:cs="Times New Roman"/>
          <w:kern w:val="1"/>
          <w:lang w:val="uk-UA" w:eastAsia="ar-SA"/>
        </w:rPr>
        <w:t xml:space="preserve">УДК </w:t>
      </w:r>
      <w:r w:rsidR="00366A30">
        <w:rPr>
          <w:rFonts w:ascii="Times New Roman" w:eastAsia="Calibri" w:hAnsi="Times New Roman" w:cs="Times New Roman"/>
          <w:kern w:val="1"/>
          <w:lang w:val="uk-UA" w:eastAsia="ar-SA"/>
        </w:rPr>
        <w:t>372.881.111.1</w:t>
      </w:r>
    </w:p>
    <w:p w:rsidR="00B77D7E" w:rsidRPr="007E6D3D" w:rsidRDefault="00DF78C2" w:rsidP="00DF78C2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uk-UA" w:eastAsia="ar-SA"/>
        </w:rPr>
      </w:pPr>
      <w:r>
        <w:rPr>
          <w:rFonts w:ascii="Times New Roman" w:eastAsia="Calibri" w:hAnsi="Times New Roman" w:cs="Times New Roman"/>
          <w:kern w:val="1"/>
          <w:lang w:val="uk-UA" w:eastAsia="ar-SA"/>
        </w:rPr>
        <w:t>І. А. ДИРДА</w:t>
      </w:r>
    </w:p>
    <w:p w:rsidR="00B77D7E" w:rsidRPr="007E6D3D" w:rsidRDefault="00B77D7E" w:rsidP="00DF78C2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uk-UA" w:eastAsia="ar-SA"/>
        </w:rPr>
      </w:pPr>
      <w:r w:rsidRPr="007E6D3D">
        <w:rPr>
          <w:rFonts w:ascii="Times New Roman" w:eastAsia="Calibri" w:hAnsi="Times New Roman" w:cs="Times New Roman"/>
          <w:kern w:val="1"/>
          <w:lang w:val="uk-UA" w:eastAsia="ar-SA"/>
        </w:rPr>
        <w:t>викладач кафедри англійської філології</w:t>
      </w:r>
    </w:p>
    <w:p w:rsidR="00B77D7E" w:rsidRPr="00293959" w:rsidRDefault="00B77D7E" w:rsidP="00DF78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uk-UA" w:eastAsia="ar-SA"/>
        </w:rPr>
      </w:pPr>
      <w:r w:rsidRPr="00293959">
        <w:rPr>
          <w:rFonts w:ascii="Times New Roman" w:eastAsia="Calibri" w:hAnsi="Times New Roman" w:cs="Times New Roman"/>
          <w:kern w:val="1"/>
          <w:lang w:val="uk-UA" w:eastAsia="ar-SA"/>
        </w:rPr>
        <w:t>Криворізький педагогічний інститут</w:t>
      </w:r>
    </w:p>
    <w:p w:rsidR="00B77D7E" w:rsidRPr="00293959" w:rsidRDefault="00B77D7E" w:rsidP="00DF78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uk-UA" w:eastAsia="ar-SA"/>
        </w:rPr>
      </w:pPr>
      <w:r w:rsidRPr="00293959">
        <w:rPr>
          <w:rFonts w:ascii="Times New Roman" w:eastAsia="Calibri" w:hAnsi="Times New Roman" w:cs="Times New Roman"/>
          <w:kern w:val="1"/>
          <w:lang w:val="uk-UA" w:eastAsia="ar-SA"/>
        </w:rPr>
        <w:t>ДВНЗ « Криворізький національний університет»</w:t>
      </w:r>
    </w:p>
    <w:p w:rsidR="00293959" w:rsidRPr="00293959" w:rsidRDefault="00293959" w:rsidP="00DF78C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uk-UA" w:eastAsia="ar-SA"/>
        </w:rPr>
      </w:pPr>
      <w:r w:rsidRPr="00293959">
        <w:rPr>
          <w:rFonts w:ascii="Times New Roman" w:hAnsi="Times New Roman" w:cs="Times New Roman"/>
        </w:rPr>
        <w:t>dyrdai@mail.ru</w:t>
      </w:r>
    </w:p>
    <w:p w:rsidR="00B77D7E" w:rsidRPr="007E6D3D" w:rsidRDefault="00B77D7E" w:rsidP="007E6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B77D7E" w:rsidRPr="00293959" w:rsidRDefault="00B77D7E" w:rsidP="007E6D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val="uk-UA" w:eastAsia="ar-SA"/>
        </w:rPr>
      </w:pPr>
      <w:r w:rsidRPr="00293959">
        <w:rPr>
          <w:rFonts w:ascii="Times New Roman" w:eastAsia="Times New Roman" w:hAnsi="Times New Roman" w:cs="Times New Roman"/>
          <w:b/>
          <w:kern w:val="1"/>
          <w:lang w:val="uk-UA" w:eastAsia="ar-SA"/>
        </w:rPr>
        <w:t>ВИНИКНЕННЯ ТА ПОДОЛАННЯ БАР</w:t>
      </w:r>
      <w:r w:rsidRPr="00293959">
        <w:rPr>
          <w:rFonts w:ascii="Times New Roman" w:eastAsia="Times New Roman" w:hAnsi="Times New Roman" w:cs="Times New Roman"/>
          <w:b/>
          <w:kern w:val="1"/>
          <w:lang w:eastAsia="ar-SA"/>
        </w:rPr>
        <w:t>’</w:t>
      </w:r>
      <w:r w:rsidRPr="00293959">
        <w:rPr>
          <w:rFonts w:ascii="Times New Roman" w:eastAsia="Times New Roman" w:hAnsi="Times New Roman" w:cs="Times New Roman"/>
          <w:b/>
          <w:kern w:val="1"/>
          <w:lang w:val="uk-UA" w:eastAsia="ar-SA"/>
        </w:rPr>
        <w:t>ЄРІВ У МІЖКУЛЬТУРНІЙ КОМУНІКАЦІЇ</w:t>
      </w:r>
    </w:p>
    <w:p w:rsidR="00B77D7E" w:rsidRPr="007E6D3D" w:rsidRDefault="00B77D7E" w:rsidP="007E6D3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val="uk-UA" w:eastAsia="ar-SA"/>
        </w:rPr>
      </w:pPr>
    </w:p>
    <w:p w:rsidR="00B77D7E" w:rsidRPr="00B77D7E" w:rsidRDefault="00B77D7E" w:rsidP="007E6D3D">
      <w:pPr>
        <w:suppressAutoHyphens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i/>
          <w:kern w:val="1"/>
          <w:sz w:val="18"/>
          <w:szCs w:val="18"/>
          <w:lang w:val="uk-UA" w:eastAsia="ar-SA"/>
        </w:rPr>
      </w:pP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У статті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з’ясовано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 сутність психологічних бар’єрів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у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 міжкультурній комунікації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; проаналізовано п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огляди вітчизняних і зарубіжних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науковців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, які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досліджували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 означен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у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 проблем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у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. Розкри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то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 поняття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«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діалог культур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»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,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«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комунікація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»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 xml:space="preserve"> і 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«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міжкультурна комунікація</w:t>
      </w:r>
      <w:r w:rsidR="00A8631C" w:rsidRPr="007E6D3D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»</w:t>
      </w:r>
      <w:r w:rsidRPr="00B77D7E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val="uk-UA" w:eastAsia="ar-SA"/>
        </w:rPr>
        <w:t>.</w:t>
      </w:r>
    </w:p>
    <w:p w:rsidR="0027686B" w:rsidRPr="007E6D3D" w:rsidRDefault="00293959" w:rsidP="007E6D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293959">
        <w:rPr>
          <w:rFonts w:ascii="Times New Roman" w:eastAsia="Calibri" w:hAnsi="Times New Roman" w:cs="Times New Roman"/>
          <w:i/>
          <w:color w:val="000000"/>
          <w:lang w:val="uk-UA"/>
        </w:rPr>
        <w:t>Проблема та її зв'язок з науковими та практичними завданнями</w:t>
      </w:r>
      <w:r w:rsidRPr="00CF20D5">
        <w:rPr>
          <w:rFonts w:ascii="Calibri" w:eastAsia="Calibri" w:hAnsi="Calibri" w:cs="Times New Roman"/>
          <w:i/>
          <w:color w:val="000000"/>
          <w:lang w:val="uk-UA"/>
        </w:rPr>
        <w:t>.</w:t>
      </w:r>
      <w:r w:rsidRPr="00DE01DB">
        <w:rPr>
          <w:rFonts w:ascii="Calibri" w:eastAsia="Calibri" w:hAnsi="Calibri" w:cs="Times New Roman"/>
          <w:color w:val="000000"/>
          <w:lang w:val="uk-UA"/>
        </w:rPr>
        <w:t xml:space="preserve"> </w:t>
      </w:r>
      <w:r w:rsidR="0027686B" w:rsidRPr="007E6D3D">
        <w:rPr>
          <w:rFonts w:ascii="Times New Roman" w:eastAsia="Times New Roman" w:hAnsi="Times New Roman" w:cs="Times New Roman"/>
          <w:kern w:val="1"/>
          <w:lang w:val="uk-UA" w:eastAsia="ar-SA"/>
        </w:rPr>
        <w:t>Радикальні зміни в житті сучасного суспільства, рівень його розвитку, процеси глобалізації та інтеграції, постійне розширення сфер міжнародного, міжнаціонального спілкування засвідчують, що подальший розвиток людства можливий лише в умовах діалогу представників різних національно-культурних і релігійних груп, здатних зрозуміти і прийняти іншу культуру як рівноцінну рідній культурі.</w:t>
      </w:r>
      <w:r w:rsidR="00BF3294" w:rsidRPr="007E6D3D">
        <w:rPr>
          <w:rFonts w:ascii="Times New Roman" w:hAnsi="Times New Roman" w:cs="Times New Roman"/>
          <w:lang w:val="uk-UA"/>
        </w:rPr>
        <w:t xml:space="preserve"> Одним із найголовніших чинників успішного спілкування між представниками різних націй є створення сприятливих умов для  взаємозбагачення малої й домінантної культур,</w:t>
      </w:r>
      <w:r w:rsidR="00DF73BE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т</w:t>
      </w:r>
      <w:r w:rsidR="00DF73BE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ому</w:t>
      </w:r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дуже важливо знати та розуміти ті психологічні бар’єри, які виникають під час міжкультурної комунікації та умови їх подолання.</w:t>
      </w:r>
    </w:p>
    <w:p w:rsidR="00BF3294" w:rsidRPr="007E6D3D" w:rsidRDefault="00293959" w:rsidP="007E6D3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293959">
        <w:rPr>
          <w:rFonts w:ascii="Times New Roman" w:eastAsia="Calibri" w:hAnsi="Times New Roman" w:cs="Times New Roman"/>
          <w:i/>
          <w:color w:val="000000"/>
          <w:lang w:val="uk-UA"/>
        </w:rPr>
        <w:t>Аналіз досліджень та публікацій, постановка завдання.</w:t>
      </w:r>
      <w:r w:rsidRPr="00CF20D5">
        <w:rPr>
          <w:rFonts w:ascii="Calibri" w:eastAsia="Calibri" w:hAnsi="Calibri" w:cs="Times New Roman"/>
          <w:lang w:val="uk-UA"/>
        </w:rPr>
        <w:t xml:space="preserve"> </w:t>
      </w:r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Проблема психологічної готовності до сприйняття іншомовної культури вивчалася вітчизняними та зарубіжними вченими. Досліджувалися, зокрема, питання впливу культури на сприйняття людиною світу (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Л. Вигодсь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кий, І. М’язова, О. Павловська,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О. Садо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хін,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С. Тер-Мінас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ова,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М. Бен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нет), визначалися бар’єри міжкультурного спілкування (В. Агєєв,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М. Бай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рем,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М. Бен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нет, М.</w:t>
      </w:r>
      <w:r w:rsidR="00BF3294" w:rsidRPr="007E6D3D"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Дмитрієв, О. Павловська,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К. Плеша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ков,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Е. Родж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ерс,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Р. Стаг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нер, Л. Самовар) і шляхи їх подолання (</w:t>
      </w:r>
      <w:proofErr w:type="spellStart"/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М. Бе</w:t>
      </w:r>
      <w:proofErr w:type="spellEnd"/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нет, </w:t>
      </w:r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Н. 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Гальскова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В. Крайд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лер, </w:t>
      </w:r>
      <w:proofErr w:type="spellStart"/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Е. Родж</w:t>
      </w:r>
      <w:proofErr w:type="spellEnd"/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ерс,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О. Садо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хін, Л. Самовар,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 В. Сафо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нова, </w:t>
      </w:r>
      <w:proofErr w:type="spellStart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С. Тер-Мінас</w:t>
      </w:r>
      <w:proofErr w:type="spellEnd"/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ова</w:t>
      </w:r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</w:t>
      </w:r>
      <w:proofErr w:type="spellStart"/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В. Тіш</w:t>
      </w:r>
      <w:proofErr w:type="spellEnd"/>
      <w:r w:rsidR="001832BC" w:rsidRPr="007E6D3D">
        <w:rPr>
          <w:rFonts w:ascii="Times New Roman" w:eastAsia="Times New Roman" w:hAnsi="Times New Roman" w:cs="Times New Roman"/>
          <w:kern w:val="1"/>
          <w:lang w:val="uk-UA" w:eastAsia="ar-SA"/>
        </w:rPr>
        <w:t>ков</w:t>
      </w:r>
      <w:r w:rsidR="00BF3294" w:rsidRPr="007E6D3D">
        <w:rPr>
          <w:rFonts w:ascii="Times New Roman" w:eastAsia="Times New Roman" w:hAnsi="Times New Roman" w:cs="Times New Roman"/>
          <w:kern w:val="1"/>
          <w:lang w:val="uk-UA" w:eastAsia="ar-SA"/>
        </w:rPr>
        <w:t>).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8F2C10">
        <w:rPr>
          <w:rFonts w:ascii="Times New Roman" w:eastAsia="Times New Roman" w:hAnsi="Times New Roman" w:cs="Times New Roman"/>
          <w:i/>
          <w:kern w:val="1"/>
          <w:highlight w:val="yellow"/>
          <w:lang w:val="uk-UA" w:eastAsia="ar-SA"/>
        </w:rPr>
        <w:t>Викладення матеріалу та результати.</w:t>
      </w:r>
      <w:r>
        <w:rPr>
          <w:rFonts w:ascii="Times New Roman" w:eastAsia="Times New Roman" w:hAnsi="Times New Roman" w:cs="Times New Roman"/>
          <w:i/>
          <w:kern w:val="1"/>
          <w:lang w:val="uk-UA" w:eastAsia="ar-SA"/>
        </w:rPr>
        <w:t xml:space="preserve"> 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Поняття «комунікація» витлумачено у працях психологів, соціологів, лінгвістів (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Г. Андреє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вої, Б.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Бенвеніста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К. Кіт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інг, Ю.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Крижанської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Б. Париг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іна, А.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Петровского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Л. Самовар, Р.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Сколлон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С.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Тінг-Туні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В. Третьякова,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Е. Шукур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ова,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М. Ярошевськ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ого)</w:t>
      </w:r>
      <w:r w:rsidRPr="004B49D8">
        <w:rPr>
          <w:rFonts w:ascii="Times New Roman" w:eastAsia="Times New Roman" w:hAnsi="Times New Roman" w:cs="Times New Roman"/>
          <w:i/>
          <w:kern w:val="1"/>
          <w:lang w:val="uk-UA" w:eastAsia="ar-SA"/>
        </w:rPr>
        <w:t xml:space="preserve">. </w:t>
      </w:r>
    </w:p>
    <w:p w:rsidR="008F2C10" w:rsidRPr="00A44C9A" w:rsidRDefault="008F2C10" w:rsidP="008F2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A44C9A">
        <w:rPr>
          <w:rFonts w:ascii="Times New Roman" w:eastAsia="Times New Roman" w:hAnsi="Times New Roman" w:cs="Times New Roman"/>
          <w:lang w:val="uk-UA" w:eastAsia="ar-SA"/>
        </w:rPr>
        <w:t xml:space="preserve">З лінгвістичним підходом, процес </w:t>
      </w:r>
      <w:r w:rsidRPr="00A44C9A">
        <w:rPr>
          <w:rFonts w:ascii="Times New Roman" w:hAnsi="Times New Roman" w:cs="Times New Roman"/>
          <w:lang w:val="uk-UA" w:eastAsia="ar-SA"/>
        </w:rPr>
        <w:t xml:space="preserve">комунікації є складним, символьним, особистісним, </w:t>
      </w:r>
      <w:proofErr w:type="spellStart"/>
      <w:r w:rsidRPr="00A44C9A">
        <w:rPr>
          <w:rFonts w:ascii="Times New Roman" w:hAnsi="Times New Roman" w:cs="Times New Roman"/>
          <w:lang w:val="uk-UA" w:eastAsia="ar-SA"/>
        </w:rPr>
        <w:t>транзакційним</w:t>
      </w:r>
      <w:proofErr w:type="spellEnd"/>
      <w:r w:rsidRPr="00A44C9A">
        <w:rPr>
          <w:rFonts w:ascii="Times New Roman" w:hAnsi="Times New Roman" w:cs="Times New Roman"/>
          <w:lang w:val="uk-UA" w:eastAsia="ar-SA"/>
        </w:rPr>
        <w:t xml:space="preserve"> процесом, який дозволяє учасникам виявляти зовнішню інформацію, внутрішній емоційний стан і статусні ролі, в яких перебувають учасники стосовно один до одного </w:t>
      </w:r>
      <w:r w:rsidRPr="00A44C9A">
        <w:rPr>
          <w:rFonts w:ascii="Times New Roman" w:eastAsia="Times New Roman" w:hAnsi="Times New Roman" w:cs="Times New Roman"/>
          <w:lang w:val="uk-UA" w:eastAsia="ar-SA"/>
        </w:rPr>
        <w:t xml:space="preserve"> (Е.</w:t>
      </w:r>
      <w:proofErr w:type="spellStart"/>
      <w:r w:rsidRPr="00A44C9A">
        <w:rPr>
          <w:rFonts w:ascii="Times New Roman" w:eastAsia="Times New Roman" w:hAnsi="Times New Roman" w:cs="Times New Roman"/>
          <w:lang w:val="uk-UA" w:eastAsia="ar-SA"/>
        </w:rPr>
        <w:t>Бенвеніст</w:t>
      </w:r>
      <w:proofErr w:type="spellEnd"/>
      <w:r w:rsidRPr="00A44C9A">
        <w:rPr>
          <w:rFonts w:ascii="Times New Roman" w:eastAsia="Times New Roman" w:hAnsi="Times New Roman" w:cs="Times New Roman"/>
          <w:lang w:val="uk-UA" w:eastAsia="ar-SA"/>
        </w:rPr>
        <w:t xml:space="preserve">, </w:t>
      </w:r>
      <w:proofErr w:type="spellStart"/>
      <w:r w:rsidRPr="00A44C9A">
        <w:rPr>
          <w:rFonts w:ascii="Times New Roman" w:eastAsia="Times New Roman" w:hAnsi="Times New Roman" w:cs="Times New Roman"/>
          <w:lang w:val="uk-UA" w:eastAsia="ar-SA"/>
        </w:rPr>
        <w:t>К. Кіт</w:t>
      </w:r>
      <w:proofErr w:type="spellEnd"/>
      <w:r w:rsidRPr="00A44C9A">
        <w:rPr>
          <w:rFonts w:ascii="Times New Roman" w:eastAsia="Times New Roman" w:hAnsi="Times New Roman" w:cs="Times New Roman"/>
          <w:lang w:val="uk-UA" w:eastAsia="ar-SA"/>
        </w:rPr>
        <w:t xml:space="preserve">інг, Л. Самовар, Р. </w:t>
      </w:r>
      <w:proofErr w:type="spellStart"/>
      <w:r w:rsidRPr="00A44C9A">
        <w:rPr>
          <w:rFonts w:ascii="Times New Roman" w:eastAsia="Times New Roman" w:hAnsi="Times New Roman" w:cs="Times New Roman"/>
          <w:lang w:val="uk-UA" w:eastAsia="ar-SA"/>
        </w:rPr>
        <w:t>Сколлон</w:t>
      </w:r>
      <w:proofErr w:type="spellEnd"/>
      <w:r w:rsidRPr="00A44C9A">
        <w:rPr>
          <w:rFonts w:ascii="Times New Roman" w:eastAsia="Times New Roman" w:hAnsi="Times New Roman" w:cs="Times New Roman"/>
          <w:lang w:val="uk-UA" w:eastAsia="ar-SA"/>
        </w:rPr>
        <w:t xml:space="preserve">, С. </w:t>
      </w:r>
      <w:proofErr w:type="spellStart"/>
      <w:r w:rsidRPr="00A44C9A">
        <w:rPr>
          <w:rFonts w:ascii="Times New Roman" w:eastAsia="Times New Roman" w:hAnsi="Times New Roman" w:cs="Times New Roman"/>
          <w:lang w:val="uk-UA" w:eastAsia="ar-SA"/>
        </w:rPr>
        <w:t>Тінг-Туні</w:t>
      </w:r>
      <w:proofErr w:type="spellEnd"/>
      <w:r w:rsidRPr="00A44C9A">
        <w:rPr>
          <w:rFonts w:ascii="Times New Roman" w:eastAsia="Times New Roman" w:hAnsi="Times New Roman" w:cs="Times New Roman"/>
          <w:lang w:val="uk-UA" w:eastAsia="ar-SA"/>
        </w:rPr>
        <w:t xml:space="preserve">). 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Представники психологічного підходу визначають спілкування як один із видів мовної діяльності; певний її елемент; умову спілкування (Б.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Паригін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Є.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Руденський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, О.М. Леонтьев).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Поняття «комунікація» є об’єктом вивчення к</w:t>
      </w:r>
      <w:r>
        <w:rPr>
          <w:rFonts w:ascii="Times New Roman" w:eastAsia="Times New Roman" w:hAnsi="Times New Roman" w:cs="Times New Roman"/>
          <w:kern w:val="1"/>
          <w:lang w:val="uk-UA" w:eastAsia="ar-SA"/>
        </w:rPr>
        <w:t xml:space="preserve">ультурології. У дослідженнях </w:t>
      </w:r>
      <w:proofErr w:type="spellStart"/>
      <w:r>
        <w:rPr>
          <w:rFonts w:ascii="Times New Roman" w:eastAsia="Times New Roman" w:hAnsi="Times New Roman" w:cs="Times New Roman"/>
          <w:kern w:val="1"/>
          <w:lang w:val="uk-UA" w:eastAsia="ar-SA"/>
        </w:rPr>
        <w:t>Т. 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Грушевицької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З. Попової, О.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Садохіна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«спілкування» витлумачено як  складний і багатогранний процес, який може бути одночасно і як процес взаємодії індивідів, і як ставлення людей один до одного, як процес їх взаємовпливу, співпереживання і взаєморозуміння. Метою такого процесу є задоволення потреб людини у контакті з іншими. 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З огляду на кількість учасників і особливості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дистантних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відносин між ними у сучасній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комунікативістиці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та лінгвістиці виокремлюють такі форм</w:t>
      </w:r>
      <w:r>
        <w:rPr>
          <w:rFonts w:ascii="Times New Roman" w:eastAsia="Times New Roman" w:hAnsi="Times New Roman" w:cs="Times New Roman"/>
          <w:kern w:val="1"/>
          <w:lang w:val="uk-UA" w:eastAsia="ar-SA"/>
        </w:rPr>
        <w:t xml:space="preserve">и комунікації (В. </w:t>
      </w:r>
      <w:proofErr w:type="spellStart"/>
      <w:r>
        <w:rPr>
          <w:rFonts w:ascii="Times New Roman" w:eastAsia="Times New Roman" w:hAnsi="Times New Roman" w:cs="Times New Roman"/>
          <w:kern w:val="1"/>
          <w:lang w:val="uk-UA" w:eastAsia="ar-SA"/>
        </w:rPr>
        <w:t>Гудікунст</w:t>
      </w:r>
      <w:proofErr w:type="spellEnd"/>
      <w:r>
        <w:rPr>
          <w:rFonts w:ascii="Times New Roman" w:eastAsia="Times New Roman" w:hAnsi="Times New Roman" w:cs="Times New Roman"/>
          <w:kern w:val="1"/>
          <w:lang w:val="uk-UA" w:eastAsia="ar-SA"/>
        </w:rPr>
        <w:t>, В. 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Карасик, В. Красних, Л. Куликова, О. Потебня, Г.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Почеп</w:t>
      </w:r>
      <w:r>
        <w:rPr>
          <w:rFonts w:ascii="Times New Roman" w:eastAsia="Times New Roman" w:hAnsi="Times New Roman" w:cs="Times New Roman"/>
          <w:kern w:val="1"/>
          <w:lang w:val="uk-UA" w:eastAsia="ar-SA"/>
        </w:rPr>
        <w:t>цов</w:t>
      </w:r>
      <w:proofErr w:type="spellEnd"/>
      <w:r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О. </w:t>
      </w:r>
      <w:proofErr w:type="spellStart"/>
      <w:r>
        <w:rPr>
          <w:rFonts w:ascii="Times New Roman" w:eastAsia="Times New Roman" w:hAnsi="Times New Roman" w:cs="Times New Roman"/>
          <w:kern w:val="1"/>
          <w:lang w:val="uk-UA" w:eastAsia="ar-SA"/>
        </w:rPr>
        <w:t>Садохін</w:t>
      </w:r>
      <w:proofErr w:type="spellEnd"/>
      <w:r>
        <w:rPr>
          <w:rFonts w:ascii="Times New Roman" w:eastAsia="Times New Roman" w:hAnsi="Times New Roman" w:cs="Times New Roman"/>
          <w:kern w:val="1"/>
          <w:lang w:val="uk-UA" w:eastAsia="ar-SA"/>
        </w:rPr>
        <w:t>, Л. Самовар, Є. 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Тарасов, Н. Шамне та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ін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):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міжособову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групову, масову, міжкультурну. 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Міжкультурну комунікацію в низці праць витлумачено як: форму комунікації та сукупність специфічних процесів взаємодії двох або більше представників різних культур, у процесі якої відбувається обмін інформацією та культурними цінностями (Л. Самовар,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В. Гудіку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нст,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Йандт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С. Тинг-Т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уні,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І. Халє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єва, Н. Шамне); специфічний вид діяльності, що не обмежується знаннями іноземних мов і  потребує знань матеріальної та духовної культури іншого народу, релігії, цінностей, світоглядних уявлень (В. фон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Гумбольт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О. Потебня). Культурні відмінності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комунікантів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мають такі особливості: незмінно функціонують й 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lastRenderedPageBreak/>
        <w:t>зберігаються в сучасному соціальному просторі; урівноважують людські права і самовизначення; сприяють процесу соціалізації та адаптації особистості до оновленого соціального простору; утворюють культурне різноманіття, що  сприяє засвоєнню нового знання і досвіду.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Проблема психологічної готовності до сприйняття іншомовної культури вивчалася вітчизняними та зарубіжними вченими. Досліджувалися, зокрема, питання впливу культури на сприйняття людиною світу (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Л. Вигодсь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кий, І. М’язова, О. Павловська,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О. Садо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хін,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С. Тер-Мінас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ова,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М. Бен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нет), визначалися бар’єри міжкультурного спілкування і шляхи їх подолання (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М. Бай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рем, Л. Самовар,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Е. Родж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ерс).</w:t>
      </w:r>
    </w:p>
    <w:p w:rsidR="008F2C10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Психологічним бар’єром, який блокує ефективне міжкультурне спілкування, є етноцентризм. Це – емоційний стан, часто підсвідомий, у якому своя етнічна група, нація або культура ставиться вище інших, власні культурні цінності і моделі поведінки вважаються «нормальними», а чужі – «дивними». Етноцентризм – одне із серйозних перешкод на шляху повноцінного міжкультурного спілкування, оскільки люди, засліплені почуттям зверхності над іншими, не можуть зрозуміти партнера у процесі комунікації [2]. </w:t>
      </w:r>
      <w:r>
        <w:rPr>
          <w:rFonts w:ascii="Times New Roman" w:eastAsia="Times New Roman" w:hAnsi="Times New Roman" w:cs="Times New Roman"/>
          <w:kern w:val="1"/>
          <w:lang w:val="uk-UA" w:eastAsia="ar-SA"/>
        </w:rPr>
        <w:t>Етноцентризм відіграє неоднозначну роль у міжкультурній комунікації: він може і підтримувати ідентичність та зберігати цілісність рідної етнічної групи, і не приймати чужі етнічні групи.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Один зі шляхів подолання етноцентризму – це формування культурного релятивізму. Останній передбачає розуміння всіх подій у культурному контексті, включаючи те, як цю подію оцінюють в іншій культурі; розуміння культури зсередини; оцінювання поведінки людей з позиції їх власної культури; повагу до відмінностей, які суперечать рідній культурі [2]. </w:t>
      </w:r>
    </w:p>
    <w:p w:rsidR="008F2C10" w:rsidRPr="004B49D8" w:rsidRDefault="008F2C10" w:rsidP="008F2C1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Іншими психологічними бар’єрами в опосередкованому міжкультурному спілкуванні є стереотипи. Стереотип розглядають як: продукт свідомості, який характерний для певного соціуму; сталі, регулярно повторювані форми поведінки; це шаблони, зразки поведінки, які прийняті в тій чи іншій культурі (В. Агєєв,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В. Єгорова-Гант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ман, О. Павловська,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К. Плеша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ков); психолінгвістичну, динамічну систему, функція якої є стабілізувати соціально значущу  діяльність суб’єкта (Н. Дмитрієва); прояв групової свідомості, яка виражається у вигляді стандарту поведінки, образа групи або людини, передсуду, ідеологічного кліше (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А. Баба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єва).</w:t>
      </w:r>
    </w:p>
    <w:p w:rsidR="008F2C10" w:rsidRPr="004B49D8" w:rsidRDefault="008F2C10" w:rsidP="008F2C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color w:val="000000"/>
          <w:kern w:val="1"/>
          <w:lang w:val="uk-UA" w:eastAsia="ar-SA"/>
        </w:rPr>
        <w:t xml:space="preserve">Об’єктивними і суб’єктивними сторонами міжкультурної комунікації є толерантність та </w:t>
      </w:r>
      <w:proofErr w:type="spellStart"/>
      <w:r w:rsidRPr="004B49D8">
        <w:rPr>
          <w:rFonts w:ascii="Times New Roman" w:eastAsia="Times New Roman" w:hAnsi="Times New Roman" w:cs="Times New Roman"/>
          <w:color w:val="000000"/>
          <w:kern w:val="1"/>
          <w:lang w:val="uk-UA" w:eastAsia="ar-SA"/>
        </w:rPr>
        <w:t>емпатія</w:t>
      </w:r>
      <w:proofErr w:type="spellEnd"/>
      <w:r w:rsidRPr="004B49D8">
        <w:rPr>
          <w:rFonts w:ascii="Times New Roman" w:eastAsia="Times New Roman" w:hAnsi="Times New Roman" w:cs="Times New Roman"/>
          <w:color w:val="000000"/>
          <w:kern w:val="1"/>
          <w:lang w:val="uk-UA" w:eastAsia="ar-SA"/>
        </w:rPr>
        <w:t>. Саме їх формування є умовою успішного подолання психологічних бар’єрів міжкультурного спілкування.</w:t>
      </w:r>
    </w:p>
    <w:p w:rsidR="008F2C10" w:rsidRPr="004B49D8" w:rsidRDefault="008F2C10" w:rsidP="008F2C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Важливий внесок у вивчення толерантності як феномена міжкультурної комунікації зробили такі вчені: Н. 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Гальскова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В. Крайд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лер,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О. Садо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хін, Л. Самовар,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 В. Сафо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нова,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С. Тер-Мінас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ова та ін.</w:t>
      </w:r>
    </w:p>
    <w:p w:rsidR="008F2C10" w:rsidRPr="004B49D8" w:rsidRDefault="008F2C10" w:rsidP="008F2C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У Декларації принципів терпимості, прийнятій ООН у 1995 р., зазначено, що «толерантність означає повагу, прийняття і правильне розуміння різноманіття культур, форм самовираження й прояву людської індивідуальності.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Толерантність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—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це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не поступка,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поблажливість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чи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потурання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, а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активне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ставлення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до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дійсності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що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формується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на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основі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визнання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універсальних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 xml:space="preserve"> прав і свобод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eastAsia="ar-SA"/>
        </w:rPr>
        <w:t>людини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eastAsia="ar-SA"/>
        </w:rPr>
        <w:t>» [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1</w:t>
      </w:r>
      <w:r w:rsidRPr="004B49D8">
        <w:rPr>
          <w:rFonts w:ascii="Times New Roman" w:eastAsia="Times New Roman" w:hAnsi="Times New Roman" w:cs="Times New Roman"/>
          <w:kern w:val="1"/>
          <w:lang w:eastAsia="ar-SA"/>
        </w:rPr>
        <w:t>].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</w:p>
    <w:p w:rsidR="008F2C10" w:rsidRPr="004B49D8" w:rsidRDefault="008F2C10" w:rsidP="008F2C1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У працях багатьох дослідників  (Г. Єлізарова, П. Сисоєв, Л. Самовар,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Н. Гальск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ова, М.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Беннет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) формування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емпатії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витлумачено не як мету міжкультурного спілкування, а як засіб, що допомагає сприймати іншомовну реальність. За своєю суттю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емпатія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передбачає здатність приймати роль іншого та уявляти світ таким, яким його бачить інший, передбачаючи його мотиви, ставлення, відчуття, потреби [3]. </w:t>
      </w:r>
    </w:p>
    <w:p w:rsidR="008F2C10" w:rsidRPr="004B49D8" w:rsidRDefault="008F2C10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  <w:r w:rsidRPr="00146058">
        <w:rPr>
          <w:rFonts w:ascii="Times New Roman" w:eastAsia="TimesNewRomanPSMT" w:hAnsi="Times New Roman" w:cs="Times New Roman"/>
          <w:i/>
          <w:kern w:val="1"/>
          <w:lang w:val="uk-UA" w:eastAsia="ar-SA"/>
        </w:rPr>
        <w:t>Висновки</w:t>
      </w:r>
      <w:r w:rsidR="00146058" w:rsidRPr="00146058">
        <w:rPr>
          <w:rFonts w:ascii="Times New Roman" w:eastAsia="TimesNewRomanPSMT" w:hAnsi="Times New Roman" w:cs="Times New Roman"/>
          <w:i/>
          <w:kern w:val="1"/>
          <w:lang w:val="uk-UA" w:eastAsia="ar-SA"/>
        </w:rPr>
        <w:t xml:space="preserve"> та напрям</w:t>
      </w:r>
      <w:bookmarkStart w:id="0" w:name="_GoBack"/>
      <w:bookmarkEnd w:id="0"/>
      <w:r w:rsidR="00146058" w:rsidRPr="00146058">
        <w:rPr>
          <w:rFonts w:ascii="Times New Roman" w:eastAsia="TimesNewRomanPSMT" w:hAnsi="Times New Roman" w:cs="Times New Roman"/>
          <w:i/>
          <w:kern w:val="1"/>
          <w:lang w:val="uk-UA" w:eastAsia="ar-SA"/>
        </w:rPr>
        <w:t>и подальших досліджень</w:t>
      </w:r>
      <w:r w:rsidRPr="004B49D8">
        <w:rPr>
          <w:rFonts w:ascii="Times New Roman" w:eastAsia="TimesNewRomanPSMT" w:hAnsi="Times New Roman" w:cs="Times New Roman"/>
          <w:b/>
          <w:kern w:val="1"/>
          <w:lang w:val="uk-UA" w:eastAsia="ar-SA"/>
        </w:rPr>
        <w:t>.</w:t>
      </w:r>
      <w:r w:rsidRPr="004B49D8">
        <w:rPr>
          <w:rFonts w:ascii="Times New Roman" w:eastAsia="TimesNewRomanPSMT" w:hAnsi="Times New Roman" w:cs="Times New Roman"/>
          <w:kern w:val="1"/>
          <w:lang w:val="uk-UA" w:eastAsia="ar-SA"/>
        </w:rPr>
        <w:t xml:space="preserve"> Отже, проаналізувавши джерела наукової літератури з окресленої проблеми, можна зробити висновки про те, що: 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комунікація – це соціально зумовлений процес обміну інформацією різного характеру і змісту, що передається спрямовано за допомогою різних засобів, має за мету досягнення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взяєморозуміння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між партнерами; міжкультурну комунікацію в низці праць витлумачено по-різному; психологічними бар’єрами, які блокують ефективне міжкультурне спілкування, є етноцентризм і стереотипи; умовою успішного подолання психологічних бар’єрів є формування толерантності та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емпатії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.</w:t>
      </w:r>
    </w:p>
    <w:p w:rsidR="008F2C10" w:rsidRPr="004B49D8" w:rsidRDefault="008F2C10" w:rsidP="008F2C1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val="uk-UA" w:eastAsia="ar-SA"/>
        </w:rPr>
      </w:pPr>
    </w:p>
    <w:p w:rsidR="008F2C10" w:rsidRDefault="008F2C10" w:rsidP="008F2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uk-UA" w:eastAsia="ar-SA"/>
        </w:rPr>
      </w:pPr>
    </w:p>
    <w:p w:rsidR="008F2C10" w:rsidRDefault="008F2C10" w:rsidP="008F2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uk-UA" w:eastAsia="ar-SA"/>
        </w:rPr>
      </w:pPr>
    </w:p>
    <w:p w:rsidR="008F2C10" w:rsidRPr="004B49D8" w:rsidRDefault="008F2C10" w:rsidP="008F2C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lastRenderedPageBreak/>
        <w:t>Література</w:t>
      </w:r>
    </w:p>
    <w:p w:rsidR="008F2C10" w:rsidRPr="004B49D8" w:rsidRDefault="008F2C10" w:rsidP="008F2C1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4B49D8">
        <w:rPr>
          <w:rFonts w:ascii="Times New Roman" w:eastAsia="Times New Roman" w:hAnsi="Times New Roman" w:cs="Times New Roman"/>
          <w:kern w:val="1"/>
          <w:lang w:eastAsia="ar-SA"/>
        </w:rPr>
        <w:t>Декларация принципов терпимости, 1995 [Электронный ресурс].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 –</w:t>
      </w:r>
      <w:r w:rsidRPr="004B49D8">
        <w:rPr>
          <w:rFonts w:ascii="Times New Roman" w:eastAsia="Times New Roman" w:hAnsi="Times New Roman" w:cs="Times New Roman"/>
          <w:kern w:val="1"/>
          <w:lang w:eastAsia="ar-SA"/>
        </w:rPr>
        <w:t>Режим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 </w:t>
      </w:r>
      <w:r w:rsidRPr="004B49D8">
        <w:rPr>
          <w:rFonts w:ascii="Times New Roman" w:eastAsia="Times New Roman" w:hAnsi="Times New Roman" w:cs="Times New Roman"/>
          <w:kern w:val="1"/>
          <w:lang w:eastAsia="ar-SA"/>
        </w:rPr>
        <w:t>доступа: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hyperlink r:id="rId9" w:history="1">
        <w:r w:rsidRPr="004B49D8">
          <w:rPr>
            <w:rFonts w:ascii="Times New Roman" w:eastAsia="Times New Roman" w:hAnsi="Times New Roman" w:cs="Times New Roman"/>
            <w:color w:val="000080"/>
            <w:kern w:val="1"/>
            <w:u w:val="single"/>
          </w:rPr>
          <w:t>http://www.un.org/ru/documents/decl_conv/declarations/toleranc.shtml</w:t>
        </w:r>
      </w:hyperlink>
    </w:p>
    <w:p w:rsidR="008F2C10" w:rsidRPr="004B49D8" w:rsidRDefault="008F2C10" w:rsidP="008F2C1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Everett M. Rogers. Edward T. Hall. and the History of Intercultural Communication:  The United States and Japan. / Everett M. Rogers, William B. Hart, Yoshitaka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>Miike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// Keio Communication Review. – 2002. – № 24.– P.3 – 26.</w:t>
      </w:r>
    </w:p>
    <w:p w:rsidR="008F2C10" w:rsidRPr="004B49D8" w:rsidRDefault="008F2C10" w:rsidP="008F2C10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en-US" w:eastAsia="ar-SA"/>
        </w:rPr>
      </w:pPr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>Samovar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>L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.</w:t>
      </w:r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 xml:space="preserve"> A.</w:t>
      </w:r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Communication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between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cultures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/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Samovar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L. A.,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Port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er R. E.,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McDaniel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E. R. –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Wadsworth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: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Cengage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 </w:t>
      </w:r>
      <w:proofErr w:type="spellStart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>Learning</w:t>
      </w:r>
      <w:proofErr w:type="spellEnd"/>
      <w:r w:rsidRPr="004B49D8">
        <w:rPr>
          <w:rFonts w:ascii="Times New Roman" w:eastAsia="Times New Roman" w:hAnsi="Times New Roman" w:cs="Times New Roman"/>
          <w:kern w:val="1"/>
          <w:lang w:val="uk-UA" w:eastAsia="ar-SA"/>
        </w:rPr>
        <w:t xml:space="preserve">, 2010. – 411 </w:t>
      </w:r>
      <w:r w:rsidRPr="004B49D8">
        <w:rPr>
          <w:rFonts w:ascii="Times New Roman" w:eastAsia="Times New Roman" w:hAnsi="Times New Roman" w:cs="Times New Roman"/>
          <w:kern w:val="1"/>
          <w:lang w:val="en-US" w:eastAsia="ar-SA"/>
        </w:rPr>
        <w:t>p.</w:t>
      </w:r>
    </w:p>
    <w:p w:rsidR="0027686B" w:rsidRPr="008F2C10" w:rsidRDefault="0027686B" w:rsidP="008F2C1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</w:pPr>
    </w:p>
    <w:sectPr w:rsidR="0027686B" w:rsidRPr="008F2C10" w:rsidSect="00EE05D6">
      <w:footerReference w:type="default" r:id="rId10"/>
      <w:pgSz w:w="11906" w:h="16838"/>
      <w:pgMar w:top="1560" w:right="1416" w:bottom="1418" w:left="1418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3" w:rsidRDefault="00FD4813" w:rsidP="00693FEA">
      <w:pPr>
        <w:spacing w:after="0" w:line="240" w:lineRule="auto"/>
      </w:pPr>
      <w:r>
        <w:separator/>
      </w:r>
    </w:p>
  </w:endnote>
  <w:endnote w:type="continuationSeparator" w:id="0">
    <w:p w:rsidR="00FD4813" w:rsidRDefault="00FD4813" w:rsidP="0069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C" w:rsidRDefault="004909FD">
    <w:pPr>
      <w:pStyle w:val="a3"/>
      <w:jc w:val="right"/>
    </w:pPr>
    <w:r>
      <w:fldChar w:fldCharType="begin"/>
    </w:r>
    <w:r w:rsidR="00FA66CC">
      <w:instrText>PAGE   \* MERGEFORMAT</w:instrText>
    </w:r>
    <w:r>
      <w:fldChar w:fldCharType="separate"/>
    </w:r>
    <w:r w:rsidR="00BE4EC7">
      <w:rPr>
        <w:noProof/>
      </w:rPr>
      <w:t>2</w:t>
    </w:r>
    <w:r>
      <w:fldChar w:fldCharType="end"/>
    </w:r>
  </w:p>
  <w:p w:rsidR="00FA66CC" w:rsidRDefault="00FA66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3" w:rsidRDefault="00FD4813" w:rsidP="00693FEA">
      <w:pPr>
        <w:spacing w:after="0" w:line="240" w:lineRule="auto"/>
      </w:pPr>
      <w:r>
        <w:separator/>
      </w:r>
    </w:p>
  </w:footnote>
  <w:footnote w:type="continuationSeparator" w:id="0">
    <w:p w:rsidR="00FD4813" w:rsidRDefault="00FD4813" w:rsidP="0069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1C7C343E"/>
    <w:name w:val="WWNum11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2955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3675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4395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5115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5835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55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00000009"/>
    <w:multiLevelType w:val="multilevel"/>
    <w:tmpl w:val="00000009"/>
    <w:name w:val="WWNum1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8DB738A"/>
    <w:multiLevelType w:val="multilevel"/>
    <w:tmpl w:val="99A03E5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503913"/>
    <w:multiLevelType w:val="hybridMultilevel"/>
    <w:tmpl w:val="8FA8840A"/>
    <w:name w:val="WWNum112"/>
    <w:lvl w:ilvl="0" w:tplc="CDC0FE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3E319B"/>
    <w:multiLevelType w:val="multilevel"/>
    <w:tmpl w:val="9634BCA6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7538DE"/>
    <w:multiLevelType w:val="hybridMultilevel"/>
    <w:tmpl w:val="A0D8F612"/>
    <w:lvl w:ilvl="0" w:tplc="CDC0FE0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FC"/>
    <w:rsid w:val="00001C89"/>
    <w:rsid w:val="00005518"/>
    <w:rsid w:val="0008310A"/>
    <w:rsid w:val="000A1BD0"/>
    <w:rsid w:val="000D1E63"/>
    <w:rsid w:val="000E7A35"/>
    <w:rsid w:val="000F57A4"/>
    <w:rsid w:val="00102CAC"/>
    <w:rsid w:val="00110CA4"/>
    <w:rsid w:val="0011530E"/>
    <w:rsid w:val="00123EBD"/>
    <w:rsid w:val="00146058"/>
    <w:rsid w:val="00157C83"/>
    <w:rsid w:val="0018288A"/>
    <w:rsid w:val="001832BC"/>
    <w:rsid w:val="00193246"/>
    <w:rsid w:val="001A0868"/>
    <w:rsid w:val="001D2C75"/>
    <w:rsid w:val="001E5553"/>
    <w:rsid w:val="002024F8"/>
    <w:rsid w:val="002235E1"/>
    <w:rsid w:val="00224717"/>
    <w:rsid w:val="002329F0"/>
    <w:rsid w:val="0025381F"/>
    <w:rsid w:val="002539B3"/>
    <w:rsid w:val="0027686B"/>
    <w:rsid w:val="00293959"/>
    <w:rsid w:val="002A273E"/>
    <w:rsid w:val="002D5C3E"/>
    <w:rsid w:val="00313560"/>
    <w:rsid w:val="003236A3"/>
    <w:rsid w:val="00327406"/>
    <w:rsid w:val="00331EFB"/>
    <w:rsid w:val="00366A30"/>
    <w:rsid w:val="00385320"/>
    <w:rsid w:val="00386A02"/>
    <w:rsid w:val="00396175"/>
    <w:rsid w:val="003D1538"/>
    <w:rsid w:val="003D189B"/>
    <w:rsid w:val="00422F0B"/>
    <w:rsid w:val="004502FF"/>
    <w:rsid w:val="00456ECD"/>
    <w:rsid w:val="00463680"/>
    <w:rsid w:val="004909FD"/>
    <w:rsid w:val="00490AFC"/>
    <w:rsid w:val="004A05F0"/>
    <w:rsid w:val="004A63C3"/>
    <w:rsid w:val="004C6CB1"/>
    <w:rsid w:val="004F413A"/>
    <w:rsid w:val="00514B82"/>
    <w:rsid w:val="00516721"/>
    <w:rsid w:val="005463BF"/>
    <w:rsid w:val="005847E7"/>
    <w:rsid w:val="00590A39"/>
    <w:rsid w:val="005B526A"/>
    <w:rsid w:val="005C2D81"/>
    <w:rsid w:val="005E0999"/>
    <w:rsid w:val="005E28AF"/>
    <w:rsid w:val="00615A0D"/>
    <w:rsid w:val="00632F38"/>
    <w:rsid w:val="00643B5D"/>
    <w:rsid w:val="006633C5"/>
    <w:rsid w:val="00693741"/>
    <w:rsid w:val="00693FEA"/>
    <w:rsid w:val="006B580C"/>
    <w:rsid w:val="006C3DAC"/>
    <w:rsid w:val="006E5FC0"/>
    <w:rsid w:val="006F4688"/>
    <w:rsid w:val="00714AE9"/>
    <w:rsid w:val="00733FF8"/>
    <w:rsid w:val="00752B8B"/>
    <w:rsid w:val="0076692D"/>
    <w:rsid w:val="00796015"/>
    <w:rsid w:val="007B3E96"/>
    <w:rsid w:val="007C2E94"/>
    <w:rsid w:val="007C692F"/>
    <w:rsid w:val="007E6D3D"/>
    <w:rsid w:val="007F5E6D"/>
    <w:rsid w:val="00804A6E"/>
    <w:rsid w:val="00806140"/>
    <w:rsid w:val="00830D01"/>
    <w:rsid w:val="008366B7"/>
    <w:rsid w:val="008415E0"/>
    <w:rsid w:val="008467C6"/>
    <w:rsid w:val="00855EC5"/>
    <w:rsid w:val="0086580B"/>
    <w:rsid w:val="008940BA"/>
    <w:rsid w:val="008C6211"/>
    <w:rsid w:val="008D201C"/>
    <w:rsid w:val="008D373F"/>
    <w:rsid w:val="008D733B"/>
    <w:rsid w:val="008F2C10"/>
    <w:rsid w:val="00902130"/>
    <w:rsid w:val="00903AC0"/>
    <w:rsid w:val="00912894"/>
    <w:rsid w:val="00942ECE"/>
    <w:rsid w:val="009505F1"/>
    <w:rsid w:val="0095195D"/>
    <w:rsid w:val="00962E1E"/>
    <w:rsid w:val="009A2D20"/>
    <w:rsid w:val="009A48D2"/>
    <w:rsid w:val="009C0330"/>
    <w:rsid w:val="009C07C1"/>
    <w:rsid w:val="009C2FD0"/>
    <w:rsid w:val="009C3085"/>
    <w:rsid w:val="009F6D84"/>
    <w:rsid w:val="00A07AFB"/>
    <w:rsid w:val="00A158EC"/>
    <w:rsid w:val="00A1751E"/>
    <w:rsid w:val="00A37C90"/>
    <w:rsid w:val="00A40414"/>
    <w:rsid w:val="00A72CFC"/>
    <w:rsid w:val="00A8631C"/>
    <w:rsid w:val="00B3162E"/>
    <w:rsid w:val="00B77D7E"/>
    <w:rsid w:val="00B83A4E"/>
    <w:rsid w:val="00B9366F"/>
    <w:rsid w:val="00BA66F7"/>
    <w:rsid w:val="00BC0EB6"/>
    <w:rsid w:val="00BD1F98"/>
    <w:rsid w:val="00BE4EC7"/>
    <w:rsid w:val="00BF3294"/>
    <w:rsid w:val="00BF69D2"/>
    <w:rsid w:val="00C5614F"/>
    <w:rsid w:val="00C65E81"/>
    <w:rsid w:val="00D06646"/>
    <w:rsid w:val="00D1433E"/>
    <w:rsid w:val="00D3656D"/>
    <w:rsid w:val="00D4287C"/>
    <w:rsid w:val="00D570D8"/>
    <w:rsid w:val="00D61D7D"/>
    <w:rsid w:val="00D729A5"/>
    <w:rsid w:val="00D8772F"/>
    <w:rsid w:val="00D97282"/>
    <w:rsid w:val="00DB1A84"/>
    <w:rsid w:val="00DE0B5B"/>
    <w:rsid w:val="00DF73BE"/>
    <w:rsid w:val="00DF75AF"/>
    <w:rsid w:val="00DF78C2"/>
    <w:rsid w:val="00E07AA6"/>
    <w:rsid w:val="00E236E1"/>
    <w:rsid w:val="00E31EDD"/>
    <w:rsid w:val="00E653B5"/>
    <w:rsid w:val="00E75C02"/>
    <w:rsid w:val="00E97B53"/>
    <w:rsid w:val="00EA16BF"/>
    <w:rsid w:val="00EA1CD6"/>
    <w:rsid w:val="00ED1CF2"/>
    <w:rsid w:val="00EE05D6"/>
    <w:rsid w:val="00EF7C61"/>
    <w:rsid w:val="00F14C99"/>
    <w:rsid w:val="00F165F6"/>
    <w:rsid w:val="00F63CF9"/>
    <w:rsid w:val="00F818AE"/>
    <w:rsid w:val="00F8257F"/>
    <w:rsid w:val="00F93245"/>
    <w:rsid w:val="00FA494C"/>
    <w:rsid w:val="00FA66CC"/>
    <w:rsid w:val="00FB0DDB"/>
    <w:rsid w:val="00FB3AF0"/>
    <w:rsid w:val="00FC2435"/>
    <w:rsid w:val="00FD4813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D7E"/>
  </w:style>
  <w:style w:type="paragraph" w:styleId="a5">
    <w:name w:val="footnote text"/>
    <w:basedOn w:val="a"/>
    <w:link w:val="a6"/>
    <w:uiPriority w:val="99"/>
    <w:semiHidden/>
    <w:unhideWhenUsed/>
    <w:rsid w:val="00DF78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78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78C2"/>
    <w:rPr>
      <w:vertAlign w:val="superscript"/>
    </w:rPr>
  </w:style>
  <w:style w:type="paragraph" w:styleId="a8">
    <w:name w:val="Normal (Web)"/>
    <w:basedOn w:val="a"/>
    <w:uiPriority w:val="99"/>
    <w:unhideWhenUsed/>
    <w:rsid w:val="00DF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7D7E"/>
  </w:style>
  <w:style w:type="paragraph" w:styleId="a5">
    <w:name w:val="footnote text"/>
    <w:basedOn w:val="a"/>
    <w:link w:val="a6"/>
    <w:uiPriority w:val="99"/>
    <w:semiHidden/>
    <w:unhideWhenUsed/>
    <w:rsid w:val="00DF78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78C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78C2"/>
    <w:rPr>
      <w:vertAlign w:val="superscript"/>
    </w:rPr>
  </w:style>
  <w:style w:type="paragraph" w:styleId="a8">
    <w:name w:val="Normal (Web)"/>
    <w:basedOn w:val="a"/>
    <w:uiPriority w:val="99"/>
    <w:unhideWhenUsed/>
    <w:rsid w:val="00DF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decl_conv/declarations/toleranc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00A2-B5CB-4F72-98E8-73A010BB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Dyrda</dc:creator>
  <cp:lastModifiedBy>Dyrda</cp:lastModifiedBy>
  <cp:revision>4</cp:revision>
  <dcterms:created xsi:type="dcterms:W3CDTF">2014-03-15T21:48:00Z</dcterms:created>
  <dcterms:modified xsi:type="dcterms:W3CDTF">2014-03-15T21:55:00Z</dcterms:modified>
</cp:coreProperties>
</file>