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1" w:rsidRPr="000F3DC6" w:rsidRDefault="00690BA5" w:rsidP="007915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Марчик В. І., </w:t>
      </w:r>
      <w:proofErr w:type="spellStart"/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Бороденко</w:t>
      </w:r>
      <w:proofErr w:type="spellEnd"/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В. І.</w:t>
      </w:r>
      <w:r w:rsidRPr="000F3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Мінжоріна</w:t>
      </w:r>
      <w:proofErr w:type="spellEnd"/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І. Л.</w:t>
      </w:r>
    </w:p>
    <w:p w:rsidR="00690BA5" w:rsidRPr="000F3DC6" w:rsidRDefault="00690BA5" w:rsidP="007915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Криворізький державний педагогічний університет</w:t>
      </w:r>
    </w:p>
    <w:p w:rsidR="00690BA5" w:rsidRPr="000F3DC6" w:rsidRDefault="00690BA5" w:rsidP="007915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Криворізький науково-природничий ліцей</w:t>
      </w:r>
    </w:p>
    <w:p w:rsidR="00690BA5" w:rsidRPr="000F3DC6" w:rsidRDefault="00690BA5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90BA5" w:rsidRPr="000F3DC6" w:rsidRDefault="00DF3FCE" w:rsidP="00791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ПРАВИЛЬНІ ЗВИЧКИ УЧНІВСЬКОЇ ТА СТУДЕНТСЬКОЇ МОЛОДІ</w:t>
      </w:r>
    </w:p>
    <w:p w:rsidR="00AF441D" w:rsidRPr="000F3DC6" w:rsidRDefault="00AF441D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7C71" w:rsidRPr="006915BD" w:rsidRDefault="00DF3FCE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Постановка проблеми.</w:t>
      </w:r>
      <w:r w:rsidR="00C103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>Світогляд з</w:t>
      </w:r>
      <w:r w:rsidR="000F3DC6" w:rsidRPr="000F3DC6">
        <w:rPr>
          <w:rFonts w:ascii="Times New Roman" w:hAnsi="Times New Roman" w:cs="Times New Roman"/>
          <w:sz w:val="28"/>
          <w:szCs w:val="28"/>
          <w:lang w:val="uk-UA"/>
        </w:rPr>
        <w:t>доров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F3DC6" w:rsidRPr="000F3DC6">
        <w:rPr>
          <w:rFonts w:ascii="Times New Roman" w:hAnsi="Times New Roman" w:cs="Times New Roman"/>
          <w:sz w:val="28"/>
          <w:szCs w:val="28"/>
          <w:lang w:val="uk-UA"/>
        </w:rPr>
        <w:t xml:space="preserve"> спос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3DC6" w:rsidRPr="000F3DC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3DC6" w:rsidRPr="000F3DC6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 xml:space="preserve"> стрімко розповсюджується </w:t>
      </w:r>
      <w:r w:rsidR="00197C71">
        <w:rPr>
          <w:rFonts w:ascii="Times New Roman" w:hAnsi="Times New Roman" w:cs="Times New Roman"/>
          <w:sz w:val="28"/>
          <w:szCs w:val="28"/>
          <w:lang w:val="uk-UA"/>
        </w:rPr>
        <w:t xml:space="preserve">по світу </w:t>
      </w:r>
      <w:r w:rsidR="000F3DC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F3DC6" w:rsidRPr="00C1039F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0F3DC6" w:rsidRPr="000F3DC6">
        <w:rPr>
          <w:rFonts w:ascii="Times New Roman" w:hAnsi="Times New Roman" w:cs="Times New Roman"/>
          <w:sz w:val="28"/>
          <w:szCs w:val="28"/>
          <w:lang w:val="uk-UA"/>
        </w:rPr>
        <w:t>більше людей стають прихильниками</w:t>
      </w:r>
      <w:r w:rsidR="00F153DF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правильного харчування</w:t>
      </w:r>
      <w:r w:rsidR="00197C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3DF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оптимальної рухової активності</w:t>
      </w:r>
      <w:r w:rsidR="00197C71">
        <w:rPr>
          <w:rFonts w:ascii="Times New Roman" w:hAnsi="Times New Roman" w:cs="Times New Roman"/>
          <w:sz w:val="28"/>
          <w:szCs w:val="28"/>
          <w:lang w:val="uk-UA"/>
        </w:rPr>
        <w:t xml:space="preserve"> тощо.На сьогодення в</w:t>
      </w:r>
      <w:r w:rsidR="00F13C38">
        <w:rPr>
          <w:rFonts w:ascii="Times New Roman" w:hAnsi="Times New Roman" w:cs="Times New Roman"/>
          <w:sz w:val="28"/>
          <w:szCs w:val="28"/>
          <w:lang w:val="uk-UA"/>
        </w:rPr>
        <w:t>елика увага приділяється</w:t>
      </w:r>
      <w:r w:rsidR="00197C71">
        <w:rPr>
          <w:rFonts w:ascii="Times New Roman" w:hAnsi="Times New Roman" w:cs="Times New Roman"/>
          <w:sz w:val="28"/>
          <w:szCs w:val="28"/>
          <w:lang w:val="uk-UA"/>
        </w:rPr>
        <w:t xml:space="preserve"> антипропаганді шкідливих звичок (нездорових, поганих, неправильних), що</w:t>
      </w:r>
      <w:r w:rsidR="00D715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9F4">
        <w:rPr>
          <w:rFonts w:ascii="Times New Roman" w:hAnsi="Times New Roman" w:cs="Times New Roman"/>
          <w:sz w:val="28"/>
          <w:szCs w:val="28"/>
          <w:lang w:val="uk-UA"/>
        </w:rPr>
        <w:t>неодмінно</w:t>
      </w:r>
      <w:r w:rsidR="00D715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C71">
        <w:rPr>
          <w:rFonts w:ascii="Times New Roman" w:hAnsi="Times New Roman" w:cs="Times New Roman"/>
          <w:sz w:val="28"/>
          <w:szCs w:val="28"/>
          <w:lang w:val="uk-UA"/>
        </w:rPr>
        <w:t>сприяє створенню у підростаючого покоління образу «чого не потрібно робити»</w:t>
      </w:r>
      <w:r w:rsidR="000214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149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159F4">
        <w:rPr>
          <w:rFonts w:ascii="Times New Roman" w:hAnsi="Times New Roman" w:cs="Times New Roman"/>
          <w:sz w:val="28"/>
          <w:szCs w:val="28"/>
          <w:lang w:val="uk-UA"/>
        </w:rPr>
        <w:t xml:space="preserve"> містить малочисельні публікації на тему «правильні звички» (к</w:t>
      </w:r>
      <w:r w:rsidR="00197C71" w:rsidRPr="00197C71">
        <w:rPr>
          <w:rFonts w:ascii="Times New Roman" w:hAnsi="Times New Roman" w:cs="Times New Roman"/>
          <w:sz w:val="28"/>
          <w:szCs w:val="28"/>
          <w:lang w:val="uk-UA"/>
        </w:rPr>
        <w:t>орисні, здорові, хороші</w:t>
      </w:r>
      <w:r w:rsidR="00A159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 xml:space="preserve">, а вчена спільнота </w:t>
      </w:r>
      <w:r w:rsidR="0002149D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 xml:space="preserve"> взагалі </w:t>
      </w:r>
      <w:r w:rsidR="0002353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>ігнору</w:t>
      </w:r>
      <w:r w:rsidR="0002353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9F4">
        <w:rPr>
          <w:rFonts w:ascii="Times New Roman" w:hAnsi="Times New Roman" w:cs="Times New Roman"/>
          <w:sz w:val="28"/>
          <w:szCs w:val="28"/>
          <w:lang w:val="uk-UA"/>
        </w:rPr>
        <w:t xml:space="preserve"> Коли людина рухається до досягнення своєї мети психологічні рекомендації радять 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</w:t>
      </w:r>
      <w:r w:rsidR="0002149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159F4">
        <w:rPr>
          <w:rFonts w:ascii="Times New Roman" w:hAnsi="Times New Roman" w:cs="Times New Roman"/>
          <w:sz w:val="28"/>
          <w:szCs w:val="28"/>
          <w:lang w:val="uk-UA"/>
        </w:rPr>
        <w:t>яскрав</w:t>
      </w:r>
      <w:r w:rsidR="002F33E3">
        <w:rPr>
          <w:rFonts w:ascii="Times New Roman" w:hAnsi="Times New Roman" w:cs="Times New Roman"/>
          <w:sz w:val="28"/>
          <w:szCs w:val="28"/>
          <w:lang w:val="uk-UA"/>
        </w:rPr>
        <w:t xml:space="preserve">ий образ та звертатися до нього якомога частіше, наповнюючи емоціями радощі і задоволення. </w:t>
      </w:r>
      <w:r w:rsidR="006915BD">
        <w:rPr>
          <w:rFonts w:ascii="Times New Roman" w:hAnsi="Times New Roman" w:cs="Times New Roman"/>
          <w:sz w:val="28"/>
          <w:szCs w:val="28"/>
          <w:lang w:val="uk-UA"/>
        </w:rPr>
        <w:t xml:space="preserve">Саме активна популяризація правильних звичок не може бути, а є ефективним і результативним засобом у формуванні </w:t>
      </w:r>
      <w:r w:rsidR="006915BD" w:rsidRPr="006915BD">
        <w:rPr>
          <w:rFonts w:ascii="Times New Roman" w:hAnsi="Times New Roman" w:cs="Times New Roman"/>
          <w:sz w:val="28"/>
          <w:szCs w:val="28"/>
          <w:lang w:val="uk-UA"/>
        </w:rPr>
        <w:t>цінност</w:t>
      </w:r>
      <w:r w:rsidR="006915BD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915BD" w:rsidRPr="006915BD">
        <w:rPr>
          <w:rFonts w:ascii="Times New Roman" w:hAnsi="Times New Roman" w:cs="Times New Roman"/>
          <w:sz w:val="28"/>
          <w:szCs w:val="28"/>
          <w:lang w:val="uk-UA"/>
        </w:rPr>
        <w:t>, норм і зразк</w:t>
      </w:r>
      <w:r w:rsidR="006915B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915BD" w:rsidRPr="006915BD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</w:t>
      </w:r>
      <w:r w:rsidR="006915BD"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 дітей, підлітків і молоді.</w:t>
      </w:r>
    </w:p>
    <w:p w:rsidR="00A05475" w:rsidRPr="00A05475" w:rsidRDefault="00DF3FCE" w:rsidP="00A054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досліджень.</w:t>
      </w:r>
      <w:r w:rsidR="00C103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741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роботі зроблено у</w:t>
      </w:r>
      <w:r w:rsidR="007915CF" w:rsidRPr="007915CF">
        <w:rPr>
          <w:rFonts w:ascii="Times New Roman" w:hAnsi="Times New Roman" w:cs="Times New Roman"/>
          <w:sz w:val="28"/>
          <w:szCs w:val="28"/>
          <w:lang w:val="uk-UA"/>
        </w:rPr>
        <w:t>загальнення розуміння цінностей різними авторами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915CF" w:rsidRPr="007915CF"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="00D715D8">
        <w:rPr>
          <w:rFonts w:ascii="Times New Roman" w:hAnsi="Times New Roman" w:cs="Times New Roman"/>
          <w:sz w:val="28"/>
          <w:szCs w:val="28"/>
          <w:lang w:val="uk-UA"/>
        </w:rPr>
        <w:t xml:space="preserve">автору </w:t>
      </w:r>
      <w:r w:rsidR="007915CF" w:rsidRPr="007915CF">
        <w:rPr>
          <w:rFonts w:ascii="Times New Roman" w:hAnsi="Times New Roman" w:cs="Times New Roman"/>
          <w:sz w:val="28"/>
          <w:szCs w:val="28"/>
          <w:lang w:val="uk-UA"/>
        </w:rPr>
        <w:t>виділити такі основні положення: цінності є показником рівня культури учня; цінності тісно пов’язані з діяльністю та соціальним буттям учня; вони є орієнтирами в соціокультурних, економічних умовах, що постійно змінюються; за допомогою цінностей учень визначає суб’єктивне ставлення до навколишнього світу</w:t>
      </w:r>
      <w:r w:rsidR="00C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CF" w:rsidRPr="007915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15CF">
        <w:rPr>
          <w:rFonts w:ascii="Times New Roman" w:hAnsi="Times New Roman" w:cs="Times New Roman"/>
          <w:sz w:val="28"/>
          <w:szCs w:val="28"/>
          <w:lang w:val="uk-UA"/>
        </w:rPr>
        <w:t>, с. 83</w:t>
      </w:r>
      <w:r w:rsidR="007915CF" w:rsidRPr="007915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915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 xml:space="preserve">Показано, що </w:t>
      </w:r>
      <w:r w:rsidR="003741C6" w:rsidRPr="00A05475">
        <w:rPr>
          <w:rFonts w:ascii="Times New Roman" w:hAnsi="Times New Roman" w:cs="Times New Roman"/>
          <w:sz w:val="28"/>
          <w:szCs w:val="28"/>
          <w:lang w:val="uk-UA"/>
        </w:rPr>
        <w:t>сучасний педагог повинен створити комфортні умови для включення особи в процес творчої співпраці у напрямку розкриття нових методик вдосконалення психофізіологічних особливостей людини, які стануть основою у формуванні етично обґрунтованої позитивної мотивації в напрямк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>у «моделювання» власного здоров’</w:t>
      </w:r>
      <w:r w:rsidR="003741C6" w:rsidRPr="00A0547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1C6" w:rsidRPr="007915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>1, с. 158</w:t>
      </w:r>
      <w:r w:rsidR="003741C6" w:rsidRPr="007915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741C6" w:rsidRPr="00A054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55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Зазначається, що </w:t>
      </w:r>
      <w:r w:rsidR="003D4455" w:rsidRPr="003D4455">
        <w:rPr>
          <w:rFonts w:ascii="Times New Roman" w:hAnsi="Times New Roman" w:cs="Times New Roman"/>
          <w:sz w:val="28"/>
          <w:szCs w:val="28"/>
          <w:lang w:val="uk-UA"/>
        </w:rPr>
        <w:t>тільки в тісному співробітництві з дітьми, батьками, медиками, соціальними педагогами й практичними психологами, а також з усіма тими людьми, хто зацікавлений та небайдужий у збереженні й покращенні здоров’я учнів, вчителі спроможні створити здоров’язбережувальне освітнє середовище у закладі освіти</w:t>
      </w:r>
      <w:r w:rsidR="00C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55" w:rsidRPr="007915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741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4455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E44754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3D4455" w:rsidRPr="007915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D4455" w:rsidRPr="003D44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3C6" w:rsidRPr="000F3DC6" w:rsidRDefault="003B63C6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Метою</w:t>
      </w:r>
      <w:r w:rsidR="00A56871" w:rsidRPr="00A568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 стало виявлення</w:t>
      </w:r>
      <w:r w:rsidR="00573E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правильних звичок в учнівської і студентської молоді та</w:t>
      </w:r>
      <w:r w:rsidR="005C2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їх відмінності.</w:t>
      </w:r>
    </w:p>
    <w:p w:rsidR="001D52BC" w:rsidRDefault="00DF3FCE" w:rsidP="00EE7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дослідження та їх обговорення.</w:t>
      </w:r>
      <w:r w:rsidR="00C103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214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дослідженні, що було проведено у квітні 2019 року, взяли участь учні випускного класу Криворізького науково-природничого ліцею (22 особи) та першокурсники Криворізького державного педагогічного університету, які навчаються за спеціальністю «Фізична культура» (26 осіб) та «Математика, інформатика» (15 осіб). </w:t>
      </w:r>
      <w:r w:rsidR="002850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Респонденти в анонімній анкеті зазначали правильні звички, що </w:t>
      </w:r>
      <w:r w:rsidR="002850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їм притаманні серед так</w:t>
      </w:r>
      <w:r w:rsidR="00D81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2850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регулярне 3-х разове харчування</w:t>
      </w:r>
      <w:r w:rsidR="00EE78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;щ</w:t>
      </w:r>
      <w:r w:rsidR="002850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оденний сніданок</w:t>
      </w:r>
      <w:r w:rsidR="00EE78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2850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регулярна рухова активність середньої</w:t>
      </w:r>
      <w:r w:rsidR="00EE78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інтенсивності; повноцінний сон; відмова від куріння; підтримання оптимальної маси тіла; невживання або обмежене вживання алкоголю; додаткове вживання вітамінів; зниженн</w:t>
      </w:r>
      <w:r w:rsidR="00D81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чутливості до стресів; учать у</w:t>
      </w:r>
      <w:r w:rsidR="00EE78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громадській діяльності. </w:t>
      </w:r>
    </w:p>
    <w:p w:rsidR="00D81242" w:rsidRDefault="001D52BC" w:rsidP="00EE7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Умовно приймаємо, що досліджуваний контингент є майже одноріднимза віковою ознакою, а відмінності, що є</w:t>
      </w:r>
      <w:r w:rsidR="003B65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пов’язані</w:t>
      </w:r>
      <w:r w:rsidRPr="007915C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навчально-виховною </w:t>
      </w:r>
      <w:r w:rsidRPr="007915CF">
        <w:rPr>
          <w:rFonts w:ascii="Times New Roman" w:hAnsi="Times New Roman" w:cs="Times New Roman"/>
          <w:sz w:val="28"/>
          <w:szCs w:val="28"/>
          <w:lang w:val="uk-UA"/>
        </w:rPr>
        <w:t>діяльністю та соціальним буттям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 анкетування перераховували у відсотки в кожній групі. Оскільки вибірки були малочисельними</w:t>
      </w:r>
      <w:r w:rsidR="003B65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81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отриманий результат не можна вважати достовірним, а тільки таким, що висвітлює тенденцію розвитку досліджуваного явища.</w:t>
      </w:r>
    </w:p>
    <w:p w:rsidR="00D81242" w:rsidRDefault="003B65DB" w:rsidP="00EE7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Аналіз отриманих даних </w:t>
      </w:r>
      <w:r w:rsidR="004F7C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731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свідчив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731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показниками явн</w:t>
      </w:r>
      <w:r w:rsidR="004F7C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109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відмінност</w:t>
      </w:r>
      <w:r w:rsidR="004F7C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109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A109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основному не спос</w:t>
      </w:r>
      <w:r w:rsidR="00731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терігаю</w:t>
      </w:r>
      <w:r w:rsidR="00A109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ться (рис.1). </w:t>
      </w:r>
    </w:p>
    <w:p w:rsidR="003D4455" w:rsidRDefault="003D4455" w:rsidP="00EE7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90BA5" w:rsidRPr="000F3DC6" w:rsidRDefault="00AF441D" w:rsidP="003D4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0F3DC6">
        <w:rPr>
          <w:noProof/>
          <w:color w:val="000000" w:themeColor="text1"/>
          <w:lang w:eastAsia="ru-RU"/>
        </w:rPr>
        <w:drawing>
          <wp:inline distT="0" distB="0" distL="0" distR="0">
            <wp:extent cx="5730240" cy="3235036"/>
            <wp:effectExtent l="0" t="0" r="381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73E8B" w:rsidRDefault="00573E8B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3FCE" w:rsidRDefault="00DF3FCE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Рис. 1. Правильні звички учнівської та студентської молоді.</w:t>
      </w:r>
    </w:p>
    <w:p w:rsidR="00A10977" w:rsidRDefault="00A10977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7DE7" w:rsidRDefault="00A10977" w:rsidP="0079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Більшості досліджуваного контингенту притаманні такі прави</w:t>
      </w:r>
      <w:r w:rsidR="00731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 звички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C90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регулярне 3-х разове харчування;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регулярна рухова активність середньої інтенсивності; повноцінний сон; відмова від куріння; підтримання оптимальної маси тіла; невживання або обмежене вживання алкоголю. 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Проте, у зв’язку із різною діяльністю, спостерігаються і відмінності у наявності правильних звичок. Якщо більше половини 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ліцеїстів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зазначили про щоденний сніданок, то у студентів цей показник трохи більше третини. Регулярна рухова активність прогнозовано найбільша у студентів групи «Фізична культура», що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 іншими чинниками ще й 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забезпечується 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організацією 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A2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поза навчальн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процесу. При порівнянні показників звичок до регулярної рухової активності ліцеїстів і студентів, які навчаються за спеціальністю «Математика, інформатика» видно, що він суттєво зростає у студентські </w:t>
      </w:r>
      <w:r w:rsidR="00E612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роки.Цікавим став аналіз показника «повноцінний сон»</w:t>
      </w:r>
      <w:r w:rsidR="00AB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у студентів він кращий, ніж у ліцеїстів, що може пояснюватися різницею в організації відпочинку у вечірні години.</w:t>
      </w:r>
    </w:p>
    <w:p w:rsidR="00A74A4F" w:rsidRDefault="00AB5EC5" w:rsidP="00A74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Спостерігається негативна тенденція показника «відмова від куріння». Якщо у ліцеїстів </w:t>
      </w:r>
      <w:r w:rsidR="00A27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показник95%, то у студентів-спортсменів вже 88%, а у студентів-математиків взагалі 67%, що є констатацією факту зростання осіб, які починають палити на 28%. </w:t>
      </w:r>
      <w:r w:rsidR="00A74A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простежується негативна тенденція показника «не вживання алкоголю». Якщо у студентів-спортсменів він найвищий, що зрозуміло, то у студентів-математиків від знижується на 10% у порівнянні з показником ліцеїстів.Найвищий показник «підтримання оптимальної маси тіла»</w:t>
      </w:r>
      <w:r w:rsidR="00D7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13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зрозуміло</w:t>
      </w:r>
      <w:r w:rsidR="00D71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13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зафіксов</w:t>
      </w:r>
      <w:r w:rsidR="00A74A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ано в групі студентів-спортсменів, </w:t>
      </w:r>
      <w:r w:rsidR="00913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при порівнянні показників ліцеїстів і студентів-математиків спостерігається зниження від 68% до 33%.</w:t>
      </w:r>
    </w:p>
    <w:p w:rsidR="00913A09" w:rsidRDefault="00913A09" w:rsidP="00A74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Найнижчі показники продемонстрували студенти-спортсмени у таких правильних звичках як «додаткове вживання вітамінів», «зниження чутливості до стресів» та «учать у громадській діяльності». Логічним поясненням може бути налагодження відносно правильного харчування студентів та 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активна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участь у спортивно-фізкультурній діяльності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компенсує потребу у формуванні зазначених звичок.</w:t>
      </w:r>
    </w:p>
    <w:p w:rsidR="00DF3FCE" w:rsidRPr="000F3DC6" w:rsidRDefault="00DF3FCE" w:rsidP="00014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Висновки.</w:t>
      </w:r>
      <w:r w:rsidR="00C103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правильних звичок в учнівської і студентської молоді виявило, що більшості притаманні такі: </w:t>
      </w:r>
      <w:r w:rsidR="00C90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«регулярне 3-х разове харчування»,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регулярна рухова активність середньої інтенсивності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повноцінний сон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відмова від куріння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підтримання оптимальної маси тіла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невживання або обмежене вживання алкоголю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с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тудент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спеціал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ізуються у ф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ізичн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0149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</w:t>
      </w:r>
      <w:r w:rsidR="00C41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і, характерні такі звички: «регулярна рухова активність», «підтримання оптимальної маси тіла», «не вживання або обмежене вживання алкоголю». Встановлена негативна тенденція зниження показників правильних звичок </w:t>
      </w:r>
      <w:r w:rsidR="00C90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молоді від закладу середньої освіти до закладу вищої освіти (без фізкультурних спеціальностей) на 28% «відмова від куріння», 35% «підтримання оптимальної ваги тіла», 10% «не вживання алкоголю».</w:t>
      </w:r>
    </w:p>
    <w:p w:rsidR="00DF3FCE" w:rsidRPr="000F3DC6" w:rsidRDefault="00DF3FCE" w:rsidP="00731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F3D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:rsidR="003741C6" w:rsidRDefault="003741C6" w:rsidP="00374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1C6">
        <w:rPr>
          <w:rFonts w:ascii="Times New Roman" w:hAnsi="Times New Roman" w:cs="Times New Roman"/>
          <w:sz w:val="28"/>
          <w:szCs w:val="28"/>
          <w:lang w:val="uk-UA"/>
        </w:rPr>
        <w:t>Дяченко-Богун</w:t>
      </w:r>
      <w:r>
        <w:rPr>
          <w:rFonts w:ascii="Times New Roman" w:hAnsi="Times New Roman" w:cs="Times New Roman"/>
          <w:sz w:val="28"/>
          <w:szCs w:val="28"/>
          <w:lang w:val="uk-UA"/>
        </w:rPr>
        <w:t> М. М. Т</w:t>
      </w:r>
      <w:r w:rsidRPr="003741C6">
        <w:rPr>
          <w:rFonts w:ascii="Times New Roman" w:hAnsi="Times New Roman" w:cs="Times New Roman"/>
          <w:sz w:val="28"/>
          <w:szCs w:val="28"/>
          <w:lang w:val="uk-UA"/>
        </w:rPr>
        <w:t>еоретичні засади формування культури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41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Фізична реабілітація та </w:t>
      </w:r>
      <w:proofErr w:type="spellStart"/>
      <w:r w:rsidRPr="003741C6">
        <w:rPr>
          <w:rFonts w:ascii="Times New Roman" w:hAnsi="Times New Roman" w:cs="Times New Roman"/>
          <w:i/>
          <w:sz w:val="28"/>
          <w:szCs w:val="28"/>
          <w:lang w:val="uk-UA"/>
        </w:rPr>
        <w:t>здоров’язбережувальні</w:t>
      </w:r>
      <w:proofErr w:type="spellEnd"/>
      <w:r w:rsidRPr="003741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технології: реалії і перспективи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741C6"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41C6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>. С 148-150.</w:t>
      </w:r>
    </w:p>
    <w:p w:rsidR="003D4455" w:rsidRDefault="003D4455" w:rsidP="003D4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1C6">
        <w:rPr>
          <w:rFonts w:ascii="Times New Roman" w:hAnsi="Times New Roman" w:cs="Times New Roman"/>
          <w:sz w:val="28"/>
          <w:szCs w:val="28"/>
          <w:lang w:val="uk-UA"/>
        </w:rPr>
        <w:t>Стрельніков</w:t>
      </w:r>
      <w:proofErr w:type="spellEnd"/>
      <w:r w:rsidR="003741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41C6" w:rsidRPr="003741C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741C6">
        <w:rPr>
          <w:rFonts w:ascii="Times New Roman" w:hAnsi="Times New Roman" w:cs="Times New Roman"/>
          <w:sz w:val="28"/>
          <w:szCs w:val="28"/>
        </w:rPr>
        <w:t> </w:t>
      </w:r>
      <w:r w:rsidRPr="003741C6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Pr="003D445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духовних цінностей учнівської молоді як основи здоров’я особистості. </w:t>
      </w:r>
      <w:r w:rsidRPr="003D445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Взаємодія духовного й фізичного виховання в становленні гармонійно розвиненої особистості.</w:t>
      </w:r>
      <w:r w:rsidRPr="003D4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Слов’янськ, 2019. С. </w:t>
      </w:r>
      <w:r w:rsidRPr="003D4455">
        <w:rPr>
          <w:rFonts w:ascii="Times New Roman" w:hAnsi="Times New Roman" w:cs="Times New Roman"/>
          <w:sz w:val="28"/>
          <w:szCs w:val="28"/>
          <w:lang w:val="uk-UA"/>
        </w:rPr>
        <w:t>76-84.</w:t>
      </w:r>
    </w:p>
    <w:p w:rsidR="002D179D" w:rsidRPr="002D179D" w:rsidRDefault="003741C6" w:rsidP="002D179D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0149E3">
        <w:rPr>
          <w:rFonts w:ascii="Times New Roman" w:hAnsi="Times New Roman" w:cs="Times New Roman"/>
          <w:sz w:val="28"/>
          <w:szCs w:val="28"/>
          <w:lang w:val="uk-UA"/>
        </w:rPr>
        <w:t>Філатова Г. </w:t>
      </w:r>
      <w:r w:rsidR="00E44754" w:rsidRPr="000149E3">
        <w:rPr>
          <w:rFonts w:ascii="Times New Roman" w:hAnsi="Times New Roman" w:cs="Times New Roman"/>
          <w:sz w:val="28"/>
          <w:szCs w:val="28"/>
          <w:lang w:val="uk-UA"/>
        </w:rPr>
        <w:t>C. Організаційно-педагогічні умови та чинники, які забезпечують формування здоров’язбережувального освітнього середовища навчального закладу</w:t>
      </w:r>
      <w:r w:rsidR="00E44754" w:rsidRPr="000149E3">
        <w:rPr>
          <w:lang w:val="uk-UA"/>
        </w:rPr>
        <w:t xml:space="preserve">. </w:t>
      </w:r>
      <w:r w:rsidR="00E44754" w:rsidRPr="000149E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Взаємодія духовного й фізичного виховання в становленні гармонійно розвиненої особистості.</w:t>
      </w:r>
      <w:r w:rsidR="00E44754" w:rsidRPr="000149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Слов’янськ, 2019. С. </w:t>
      </w:r>
      <w:r w:rsidR="00E44754" w:rsidRPr="000149E3">
        <w:rPr>
          <w:rFonts w:ascii="Times New Roman" w:hAnsi="Times New Roman" w:cs="Times New Roman"/>
          <w:sz w:val="28"/>
          <w:szCs w:val="28"/>
          <w:lang w:val="uk-UA"/>
        </w:rPr>
        <w:t>188-193.</w:t>
      </w:r>
    </w:p>
    <w:sectPr w:rsidR="002D179D" w:rsidRPr="002D179D" w:rsidSect="00C1039F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9FC"/>
    <w:multiLevelType w:val="hybridMultilevel"/>
    <w:tmpl w:val="49223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0BA5"/>
    <w:rsid w:val="00012E1A"/>
    <w:rsid w:val="000149E3"/>
    <w:rsid w:val="0002149D"/>
    <w:rsid w:val="00023537"/>
    <w:rsid w:val="00076B2A"/>
    <w:rsid w:val="0008472C"/>
    <w:rsid w:val="000F3DC6"/>
    <w:rsid w:val="00197C71"/>
    <w:rsid w:val="001B34F7"/>
    <w:rsid w:val="001D52BC"/>
    <w:rsid w:val="001F3706"/>
    <w:rsid w:val="0028504E"/>
    <w:rsid w:val="002D179D"/>
    <w:rsid w:val="002F33E3"/>
    <w:rsid w:val="003108A5"/>
    <w:rsid w:val="0035621C"/>
    <w:rsid w:val="003741C6"/>
    <w:rsid w:val="003B63C6"/>
    <w:rsid w:val="003B65DB"/>
    <w:rsid w:val="003D4455"/>
    <w:rsid w:val="004963FA"/>
    <w:rsid w:val="004F7C1A"/>
    <w:rsid w:val="00573E8B"/>
    <w:rsid w:val="005C2B81"/>
    <w:rsid w:val="00690BA5"/>
    <w:rsid w:val="006915BD"/>
    <w:rsid w:val="00691A31"/>
    <w:rsid w:val="006C221E"/>
    <w:rsid w:val="00706D51"/>
    <w:rsid w:val="007310CC"/>
    <w:rsid w:val="007915CF"/>
    <w:rsid w:val="00913A09"/>
    <w:rsid w:val="009C39AD"/>
    <w:rsid w:val="00A05475"/>
    <w:rsid w:val="00A10977"/>
    <w:rsid w:val="00A159F4"/>
    <w:rsid w:val="00A25635"/>
    <w:rsid w:val="00A27DE7"/>
    <w:rsid w:val="00A56871"/>
    <w:rsid w:val="00A74A4F"/>
    <w:rsid w:val="00AB5EC5"/>
    <w:rsid w:val="00AF441D"/>
    <w:rsid w:val="00C1039F"/>
    <w:rsid w:val="00C41A60"/>
    <w:rsid w:val="00C90BB9"/>
    <w:rsid w:val="00D715D8"/>
    <w:rsid w:val="00D81242"/>
    <w:rsid w:val="00DF3FCE"/>
    <w:rsid w:val="00E44754"/>
    <w:rsid w:val="00E612CA"/>
    <w:rsid w:val="00EE78DF"/>
    <w:rsid w:val="00F13C38"/>
    <w:rsid w:val="00F1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84944379460051"/>
          <c:y val="8.9405091878528034E-2"/>
          <c:w val="0.86215055620539982"/>
          <c:h val="0.520502960385765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Ліцеісти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3-х разове харчування</c:v>
                </c:pt>
                <c:pt idx="1">
                  <c:v>Щоденний сніданок</c:v>
                </c:pt>
                <c:pt idx="2">
                  <c:v>Рухова активність</c:v>
                </c:pt>
                <c:pt idx="3">
                  <c:v>Повноцінний сон</c:v>
                </c:pt>
                <c:pt idx="4">
                  <c:v>Відмова від куріння</c:v>
                </c:pt>
                <c:pt idx="5">
                  <c:v>Оптимальна маса тіла</c:v>
                </c:pt>
                <c:pt idx="6">
                  <c:v>Не вживання алкоголю </c:v>
                </c:pt>
                <c:pt idx="7">
                  <c:v>Вживання вітамінів</c:v>
                </c:pt>
                <c:pt idx="8">
                  <c:v>Зниженя чутлив. до стресів</c:v>
                </c:pt>
                <c:pt idx="9">
                  <c:v>Громадська діяльність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54</c:v>
                </c:pt>
                <c:pt idx="2">
                  <c:v>50</c:v>
                </c:pt>
                <c:pt idx="3">
                  <c:v>45</c:v>
                </c:pt>
                <c:pt idx="4">
                  <c:v>95</c:v>
                </c:pt>
                <c:pt idx="5">
                  <c:v>68</c:v>
                </c:pt>
                <c:pt idx="6">
                  <c:v>90</c:v>
                </c:pt>
                <c:pt idx="7">
                  <c:v>23</c:v>
                </c:pt>
                <c:pt idx="8">
                  <c:v>50</c:v>
                </c:pt>
                <c:pt idx="9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6B-46A1-9A0D-DDDFF137FF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Студенти "Фізична культура"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3-х разове харчування</c:v>
                </c:pt>
                <c:pt idx="1">
                  <c:v>Щоденний сніданок</c:v>
                </c:pt>
                <c:pt idx="2">
                  <c:v>Рухова активність</c:v>
                </c:pt>
                <c:pt idx="3">
                  <c:v>Повноцінний сон</c:v>
                </c:pt>
                <c:pt idx="4">
                  <c:v>Відмова від куріння</c:v>
                </c:pt>
                <c:pt idx="5">
                  <c:v>Оптимальна маса тіла</c:v>
                </c:pt>
                <c:pt idx="6">
                  <c:v>Не вживання алкоголю </c:v>
                </c:pt>
                <c:pt idx="7">
                  <c:v>Вживання вітамінів</c:v>
                </c:pt>
                <c:pt idx="8">
                  <c:v>Зниженя чутлив. до стресів</c:v>
                </c:pt>
                <c:pt idx="9">
                  <c:v>Громадська діяльність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</c:v>
                </c:pt>
                <c:pt idx="1">
                  <c:v>38</c:v>
                </c:pt>
                <c:pt idx="2">
                  <c:v>100</c:v>
                </c:pt>
                <c:pt idx="3">
                  <c:v>65</c:v>
                </c:pt>
                <c:pt idx="4">
                  <c:v>88</c:v>
                </c:pt>
                <c:pt idx="5">
                  <c:v>81</c:v>
                </c:pt>
                <c:pt idx="6">
                  <c:v>96</c:v>
                </c:pt>
                <c:pt idx="7">
                  <c:v>15</c:v>
                </c:pt>
                <c:pt idx="8">
                  <c:v>31</c:v>
                </c:pt>
                <c:pt idx="9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6B-46A1-9A0D-DDDFF137FF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Студенти "Математика, інформатика"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3-х разове харчування</c:v>
                </c:pt>
                <c:pt idx="1">
                  <c:v>Щоденний сніданок</c:v>
                </c:pt>
                <c:pt idx="2">
                  <c:v>Рухова активність</c:v>
                </c:pt>
                <c:pt idx="3">
                  <c:v>Повноцінний сон</c:v>
                </c:pt>
                <c:pt idx="4">
                  <c:v>Відмова від куріння</c:v>
                </c:pt>
                <c:pt idx="5">
                  <c:v>Оптимальна маса тіла</c:v>
                </c:pt>
                <c:pt idx="6">
                  <c:v>Не вживання алкоголю </c:v>
                </c:pt>
                <c:pt idx="7">
                  <c:v>Вживання вітамінів</c:v>
                </c:pt>
                <c:pt idx="8">
                  <c:v>Зниженя чутлив. до стресів</c:v>
                </c:pt>
                <c:pt idx="9">
                  <c:v>Громадська діяльність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67</c:v>
                </c:pt>
                <c:pt idx="1">
                  <c:v>40</c:v>
                </c:pt>
                <c:pt idx="2">
                  <c:v>87</c:v>
                </c:pt>
                <c:pt idx="3">
                  <c:v>80</c:v>
                </c:pt>
                <c:pt idx="4">
                  <c:v>67</c:v>
                </c:pt>
                <c:pt idx="5">
                  <c:v>33</c:v>
                </c:pt>
                <c:pt idx="6">
                  <c:v>80</c:v>
                </c:pt>
                <c:pt idx="7">
                  <c:v>33</c:v>
                </c:pt>
                <c:pt idx="8">
                  <c:v>53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6B-46A1-9A0D-DDDFF137FFF1}"/>
            </c:ext>
          </c:extLst>
        </c:ser>
        <c:dLbls>
          <c:showVal val="1"/>
        </c:dLbls>
        <c:gapWidth val="267"/>
        <c:overlap val="-43"/>
        <c:axId val="146680832"/>
        <c:axId val="146690816"/>
      </c:barChart>
      <c:catAx>
        <c:axId val="146680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690816"/>
        <c:crosses val="autoZero"/>
        <c:auto val="1"/>
        <c:lblAlgn val="ctr"/>
        <c:lblOffset val="100"/>
      </c:catAx>
      <c:valAx>
        <c:axId val="14669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sz="1100" b="0" i="0" baseline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4.3943185625732947E-2"/>
              <c:y val="0.2016812087678229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6808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248195538057743"/>
          <c:y val="1.2606848974959207E-2"/>
          <c:w val="0.87403197771821073"/>
          <c:h val="5.40741456397704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0" cap="flat" cmpd="sng" algn="ctr">
      <a:noFill/>
      <a:round/>
    </a:ln>
    <a:effectLst/>
  </c:spPr>
  <c:txPr>
    <a:bodyPr/>
    <a:lstStyle/>
    <a:p>
      <a:pPr>
        <a:defRPr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2019-05-18T06:09:00Z</dcterms:created>
  <dcterms:modified xsi:type="dcterms:W3CDTF">2020-06-07T08:06:00Z</dcterms:modified>
</cp:coreProperties>
</file>