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D1" w:rsidRPr="007570D1" w:rsidRDefault="002E4F9A" w:rsidP="002E4F9A">
      <w:pPr>
        <w:pStyle w:val="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РІВЕНЬ </w:t>
      </w:r>
      <w:r w:rsidR="007570D1" w:rsidRPr="00757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ГОТОВНІСТЬ МАЙБУТНІХ УЧИТЕЛІВ ФІЗИЧНОЇ КУЛЬТУРИ ВИПУСКНОГО КУРСУ ДО ЗДОРОВ’ЯЗБЕРЕЖУВАЛЬНОЇ ДІЯЛЬНОСТІ </w:t>
      </w:r>
    </w:p>
    <w:p w:rsidR="007570D1" w:rsidRPr="007570D1" w:rsidRDefault="007570D1" w:rsidP="00CA20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5223" w:rsidRPr="007D5223" w:rsidRDefault="007D5223" w:rsidP="007D522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7D52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Ковтун Алла </w:t>
      </w:r>
      <w:proofErr w:type="spellStart"/>
      <w:r w:rsidRPr="007D52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Олександрівна</w:t>
      </w:r>
      <w:proofErr w:type="spellEnd"/>
      <w:r w:rsidRPr="007D52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</w:t>
      </w:r>
    </w:p>
    <w:p w:rsidR="007D5223" w:rsidRPr="007D5223" w:rsidRDefault="007D5223" w:rsidP="007D52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gramStart"/>
      <w:r w:rsidRPr="007D5223">
        <w:rPr>
          <w:rFonts w:ascii="Times New Roman" w:hAnsi="Times New Roman" w:cs="Times New Roman"/>
          <w:sz w:val="28"/>
          <w:szCs w:val="28"/>
          <w:shd w:val="clear" w:color="auto" w:fill="FFFFFF"/>
        </w:rPr>
        <w:t>к.б</w:t>
      </w:r>
      <w:proofErr w:type="gramEnd"/>
      <w:r w:rsidRPr="007D5223">
        <w:rPr>
          <w:rFonts w:ascii="Times New Roman" w:hAnsi="Times New Roman" w:cs="Times New Roman"/>
          <w:sz w:val="28"/>
          <w:szCs w:val="28"/>
          <w:shd w:val="clear" w:color="auto" w:fill="FFFFFF"/>
        </w:rPr>
        <w:t>.н., доцент</w:t>
      </w:r>
    </w:p>
    <w:p w:rsidR="007D5223" w:rsidRDefault="007D5223" w:rsidP="007D52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hyperlink r:id="rId5" w:tgtFrame="_blank" w:history="1">
        <w:r w:rsidRPr="007D5223">
          <w:rPr>
            <w:rStyle w:val="a6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alla-kovtun111@i.ua</w:t>
        </w:r>
      </w:hyperlink>
    </w:p>
    <w:p w:rsidR="007D5223" w:rsidRPr="007D5223" w:rsidRDefault="007D5223" w:rsidP="007D5223">
      <w:pPr>
        <w:shd w:val="clear" w:color="auto" w:fill="FFFFFF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D5223">
        <w:rPr>
          <w:rFonts w:ascii="Times New Roman" w:eastAsia="Times New Roman" w:hAnsi="Times New Roman" w:cs="Times New Roman"/>
          <w:sz w:val="28"/>
          <w:szCs w:val="28"/>
          <w:lang w:val="uk-UA"/>
        </w:rPr>
        <w:t>Придніпровська державна академія фізичної культури і спорту</w:t>
      </w:r>
    </w:p>
    <w:p w:rsidR="007D5223" w:rsidRPr="007D5223" w:rsidRDefault="007D5223" w:rsidP="007D5223">
      <w:pPr>
        <w:shd w:val="clear" w:color="auto" w:fill="FFFFFF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D5223">
        <w:rPr>
          <w:rFonts w:ascii="Times New Roman" w:eastAsia="Times New Roman" w:hAnsi="Times New Roman" w:cs="Times New Roman"/>
          <w:sz w:val="28"/>
          <w:szCs w:val="28"/>
          <w:lang w:val="uk-UA"/>
        </w:rPr>
        <w:t>м. Дніпро, Україна</w:t>
      </w:r>
    </w:p>
    <w:p w:rsidR="008F3AA7" w:rsidRPr="007570D1" w:rsidRDefault="008F3AA7" w:rsidP="007D52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70D1">
        <w:rPr>
          <w:rFonts w:ascii="Times New Roman" w:hAnsi="Times New Roman" w:cs="Times New Roman"/>
          <w:b/>
          <w:sz w:val="28"/>
          <w:szCs w:val="28"/>
          <w:lang w:val="uk-UA"/>
        </w:rPr>
        <w:t>Кучерган</w:t>
      </w:r>
      <w:proofErr w:type="spellEnd"/>
      <w:r w:rsidRPr="00757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Єлиза</w:t>
      </w:r>
      <w:r w:rsidR="007570D1" w:rsidRPr="007570D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7570D1">
        <w:rPr>
          <w:rFonts w:ascii="Times New Roman" w:hAnsi="Times New Roman" w:cs="Times New Roman"/>
          <w:b/>
          <w:sz w:val="28"/>
          <w:szCs w:val="28"/>
          <w:lang w:val="uk-UA"/>
        </w:rPr>
        <w:t>ета Валеріївна,</w:t>
      </w:r>
    </w:p>
    <w:p w:rsidR="008F3AA7" w:rsidRDefault="007570D1" w:rsidP="007D52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70D1">
        <w:rPr>
          <w:rFonts w:ascii="Times New Roman" w:hAnsi="Times New Roman" w:cs="Times New Roman"/>
          <w:sz w:val="28"/>
          <w:szCs w:val="28"/>
          <w:lang w:val="uk-UA"/>
        </w:rPr>
        <w:t>к.пед.н</w:t>
      </w:r>
      <w:proofErr w:type="spellEnd"/>
      <w:r w:rsidRPr="007570D1">
        <w:rPr>
          <w:rFonts w:ascii="Times New Roman" w:hAnsi="Times New Roman" w:cs="Times New Roman"/>
          <w:sz w:val="28"/>
          <w:szCs w:val="28"/>
          <w:lang w:val="uk-UA"/>
        </w:rPr>
        <w:t>, ст</w:t>
      </w:r>
      <w:r w:rsidR="008F3AA7" w:rsidRPr="007570D1">
        <w:rPr>
          <w:rFonts w:ascii="Times New Roman" w:hAnsi="Times New Roman" w:cs="Times New Roman"/>
          <w:sz w:val="28"/>
          <w:szCs w:val="28"/>
          <w:lang w:val="uk-UA"/>
        </w:rPr>
        <w:t>. викладач</w:t>
      </w:r>
    </w:p>
    <w:p w:rsidR="002A7567" w:rsidRPr="002A7567" w:rsidRDefault="00F64473" w:rsidP="007D52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2A7567" w:rsidRPr="002A756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kucherganchik</w:t>
        </w:r>
        <w:r w:rsidR="002A7567" w:rsidRPr="007D522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2A7567" w:rsidRPr="002A756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A7567" w:rsidRPr="007D522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A7567" w:rsidRPr="002A756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F3AA7" w:rsidRPr="007570D1" w:rsidRDefault="008F3AA7" w:rsidP="007D522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0D1">
        <w:rPr>
          <w:rFonts w:ascii="Times New Roman" w:hAnsi="Times New Roman" w:cs="Times New Roman"/>
          <w:b/>
          <w:sz w:val="28"/>
          <w:szCs w:val="28"/>
          <w:lang w:val="uk-UA"/>
        </w:rPr>
        <w:t>Марчик Валентина Іванівна,</w:t>
      </w:r>
    </w:p>
    <w:p w:rsidR="008F3AA7" w:rsidRPr="007570D1" w:rsidRDefault="008F3AA7" w:rsidP="00CA20F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70D1">
        <w:rPr>
          <w:rFonts w:ascii="Times New Roman" w:hAnsi="Times New Roman" w:cs="Times New Roman"/>
          <w:sz w:val="28"/>
          <w:szCs w:val="28"/>
          <w:lang w:val="uk-UA"/>
        </w:rPr>
        <w:t>к.б.н</w:t>
      </w:r>
      <w:proofErr w:type="spellEnd"/>
      <w:r w:rsidRPr="007570D1"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8F3AA7" w:rsidRPr="007570D1" w:rsidRDefault="00F64473" w:rsidP="00CA20F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8F3AA7" w:rsidRPr="007570D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valentinamarchik@gmail.com</w:t>
        </w:r>
      </w:hyperlink>
    </w:p>
    <w:p w:rsidR="008F3AA7" w:rsidRPr="007570D1" w:rsidRDefault="008F3AA7" w:rsidP="00CA20F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570D1">
        <w:rPr>
          <w:rFonts w:ascii="Times New Roman" w:hAnsi="Times New Roman" w:cs="Times New Roman"/>
          <w:sz w:val="28"/>
          <w:szCs w:val="28"/>
          <w:lang w:val="uk-UA"/>
        </w:rPr>
        <w:t>Криворізький державний педагогічний університет</w:t>
      </w:r>
    </w:p>
    <w:p w:rsidR="008F3AA7" w:rsidRPr="007570D1" w:rsidRDefault="008F3AA7" w:rsidP="00CA20F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570D1">
        <w:rPr>
          <w:rFonts w:ascii="Times New Roman" w:hAnsi="Times New Roman" w:cs="Times New Roman"/>
          <w:sz w:val="28"/>
          <w:szCs w:val="28"/>
          <w:lang w:val="uk-UA"/>
        </w:rPr>
        <w:t>м. Кривий Ріг, Україна</w:t>
      </w:r>
    </w:p>
    <w:p w:rsidR="008F3AA7" w:rsidRPr="007570D1" w:rsidRDefault="008F3AA7" w:rsidP="00CA20F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5845" w:rsidRPr="00157658" w:rsidRDefault="007570D1" w:rsidP="00E45845">
      <w:pPr>
        <w:pStyle w:val="1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F31A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>Введення./</w:t>
      </w:r>
      <w:r w:rsidRPr="006F31A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>Introductions</w:t>
      </w:r>
      <w:r w:rsidRPr="006F31A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>.</w:t>
      </w:r>
      <w:r w:rsidR="006F31A5" w:rsidRPr="006F31A5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6F31A5" w:rsidRPr="006F3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Нова українська школа, головною метою якої є створення школи, в якій буде приємно навчатись і яка даватиме учням не тільки знання</w:t>
      </w:r>
      <w:r w:rsidR="00E45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6F31A5" w:rsidRPr="006F3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 й уміння застосовувати їх у повсякденному житті, ставить нові завдання закладам професійної підготовки педагогічних кадрів. </w:t>
      </w:r>
      <w:r w:rsidR="00E45845" w:rsidRPr="009F652F">
        <w:rPr>
          <w:rFonts w:ascii="Times New Roman" w:hAnsi="Times New Roman" w:cs="Times New Roman"/>
          <w:color w:val="auto"/>
          <w:sz w:val="28"/>
          <w:szCs w:val="28"/>
          <w:lang w:val="uk-UA"/>
        </w:rPr>
        <w:t>Надзвичайно</w:t>
      </w:r>
      <w:r w:rsidR="00E45845" w:rsidRPr="0015765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велика відповідальність за здоров’я молодого покоління покладається </w:t>
      </w:r>
      <w:r w:rsidR="002A7567" w:rsidRPr="00157658">
        <w:rPr>
          <w:rFonts w:ascii="Times New Roman" w:hAnsi="Times New Roman" w:cs="Times New Roman"/>
          <w:color w:val="auto"/>
          <w:sz w:val="28"/>
          <w:szCs w:val="28"/>
          <w:lang w:val="uk-UA"/>
        </w:rPr>
        <w:t>на учителів фізичної культури</w:t>
      </w:r>
      <w:r w:rsidR="00E45845" w:rsidRPr="0015765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2A7567">
        <w:rPr>
          <w:rFonts w:ascii="Times New Roman" w:hAnsi="Times New Roman" w:cs="Times New Roman"/>
          <w:color w:val="auto"/>
          <w:sz w:val="28"/>
          <w:szCs w:val="28"/>
          <w:lang w:val="uk-UA"/>
        </w:rPr>
        <w:t>які</w:t>
      </w:r>
      <w:r w:rsidR="00E45845" w:rsidRPr="0015765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здійсню</w:t>
      </w:r>
      <w:r w:rsidR="002A7567">
        <w:rPr>
          <w:rFonts w:ascii="Times New Roman" w:hAnsi="Times New Roman" w:cs="Times New Roman"/>
          <w:color w:val="auto"/>
          <w:sz w:val="28"/>
          <w:szCs w:val="28"/>
          <w:lang w:val="uk-UA"/>
        </w:rPr>
        <w:t>ють</w:t>
      </w:r>
      <w:r w:rsidR="00E45845" w:rsidRPr="0015765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навчання й виховання в </w:t>
      </w:r>
      <w:r w:rsidR="00E45845">
        <w:rPr>
          <w:rFonts w:ascii="Times New Roman" w:hAnsi="Times New Roman" w:cs="Times New Roman"/>
          <w:color w:val="auto"/>
          <w:sz w:val="28"/>
          <w:szCs w:val="28"/>
          <w:lang w:val="uk-UA"/>
        </w:rPr>
        <w:t>сучасни</w:t>
      </w:r>
      <w:r w:rsidR="002A7567">
        <w:rPr>
          <w:rFonts w:ascii="Times New Roman" w:hAnsi="Times New Roman" w:cs="Times New Roman"/>
          <w:color w:val="auto"/>
          <w:sz w:val="28"/>
          <w:szCs w:val="28"/>
          <w:lang w:val="uk-UA"/>
        </w:rPr>
        <w:t>х</w:t>
      </w:r>
      <w:r w:rsidR="00E458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A04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освітніх </w:t>
      </w:r>
      <w:r w:rsidR="002A7567">
        <w:rPr>
          <w:rFonts w:ascii="Times New Roman" w:hAnsi="Times New Roman" w:cs="Times New Roman"/>
          <w:color w:val="auto"/>
          <w:sz w:val="28"/>
          <w:szCs w:val="28"/>
          <w:lang w:val="uk-UA"/>
        </w:rPr>
        <w:t>закладах</w:t>
      </w:r>
      <w:r w:rsidR="00E45845" w:rsidRPr="0015765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За таких умов виняткового значення набуває підготовка педагогів і вчителів фізичної культури до </w:t>
      </w:r>
      <w:proofErr w:type="spellStart"/>
      <w:r w:rsidR="00E45845" w:rsidRPr="00157658">
        <w:rPr>
          <w:rFonts w:ascii="Times New Roman" w:hAnsi="Times New Roman" w:cs="Times New Roman"/>
          <w:color w:val="auto"/>
          <w:sz w:val="28"/>
          <w:szCs w:val="28"/>
          <w:lang w:val="uk-UA"/>
        </w:rPr>
        <w:t>здоров’язбережувальної</w:t>
      </w:r>
      <w:proofErr w:type="spellEnd"/>
      <w:r w:rsidR="00E45845" w:rsidRPr="0015765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професійної діяльності.</w:t>
      </w:r>
    </w:p>
    <w:p w:rsidR="00767CFA" w:rsidRPr="007570D1" w:rsidRDefault="00E45845" w:rsidP="006F31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Дослідження</w:t>
      </w:r>
      <w:r w:rsidR="00CF64C7" w:rsidRPr="006F31A5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6F31A5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з</w:t>
      </w:r>
      <w:proofErr w:type="spellStart"/>
      <w:r w:rsidRPr="006F31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доров’язбережувальн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технологій</w:t>
      </w:r>
      <w:r w:rsidRPr="006F31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показал</w:t>
      </w:r>
      <w:r w:rsidR="00CF64C7" w:rsidRPr="006F31A5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о, що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їх </w:t>
      </w:r>
      <w:r w:rsidR="00092D2B" w:rsidRPr="006F31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можна</w:t>
      </w:r>
      <w:r w:rsidR="00092D2B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 розглядати як одну з найперспективніших систем,</w:t>
      </w:r>
      <w:r w:rsidR="00CF64C7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092D2B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в </w:t>
      </w:r>
      <w:r w:rsidR="00CF64C7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педагогічній </w:t>
      </w:r>
      <w:r w:rsidR="00092D2B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роботі підвищить результативність в освітньому процесі, сформує ціннісні </w:t>
      </w:r>
      <w:r w:rsidR="00092D2B" w:rsidRPr="007570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орієнтації, </w:t>
      </w:r>
      <w:r w:rsidR="009A1634" w:rsidRPr="007570D1">
        <w:rPr>
          <w:rFonts w:ascii="Times New Roman" w:hAnsi="Times New Roman" w:cs="Times New Roman"/>
          <w:sz w:val="28"/>
          <w:szCs w:val="28"/>
          <w:lang w:val="uk-UA"/>
        </w:rPr>
        <w:t>спрямовані на збереження здоров’</w:t>
      </w:r>
      <w:r w:rsidR="00092D2B" w:rsidRPr="007570D1">
        <w:rPr>
          <w:rFonts w:ascii="Times New Roman" w:hAnsi="Times New Roman" w:cs="Times New Roman"/>
          <w:sz w:val="28"/>
          <w:szCs w:val="28"/>
          <w:lang w:val="uk-UA"/>
        </w:rPr>
        <w:t>я і гармонійний розвиток вихованц</w:t>
      </w:r>
      <w:r w:rsidR="00767CFA" w:rsidRPr="007570D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A1634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роботі </w:t>
      </w:r>
      <w:r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майбутнім вчителям фізичної культури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A1634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екомендується при плануванні та проведенні уроку спиратися на основні сучасні вимоги до уроку фізичної культури з комплексом </w:t>
      </w:r>
      <w:proofErr w:type="spellStart"/>
      <w:r w:rsidR="009A1634" w:rsidRPr="007570D1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здоров’язбережувальних</w:t>
      </w:r>
      <w:proofErr w:type="spellEnd"/>
      <w:r w:rsidR="009A1634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технологій. </w:t>
      </w:r>
      <w:r w:rsidR="00092D2B" w:rsidRPr="007570D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67CFA" w:rsidRPr="007570D1">
        <w:rPr>
          <w:rFonts w:ascii="Times New Roman" w:hAnsi="Times New Roman" w:cs="Times New Roman"/>
          <w:sz w:val="28"/>
          <w:szCs w:val="28"/>
          <w:lang w:val="uk-UA"/>
        </w:rPr>
        <w:t>3, с. 261</w:t>
      </w:r>
      <w:r w:rsidR="00092D2B" w:rsidRPr="007570D1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9A1634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вивчені знань студентів з інноваційних технологій</w:t>
      </w:r>
      <w:r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proofErr w:type="spellStart"/>
      <w:r w:rsidRPr="007570D1">
        <w:rPr>
          <w:rFonts w:ascii="Times New Roman" w:hAnsi="Times New Roman" w:cs="Times New Roman"/>
          <w:sz w:val="28"/>
          <w:szCs w:val="28"/>
          <w:lang w:val="uk-UA"/>
        </w:rPr>
        <w:t>здоров’язбереженню</w:t>
      </w:r>
      <w:proofErr w:type="spellEnd"/>
      <w:r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виявлено</w:t>
      </w:r>
      <w:r w:rsidR="00767CFA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, що більшості студентів характерна недостатність знань з </w:t>
      </w:r>
      <w:proofErr w:type="spellStart"/>
      <w:r w:rsidR="00767CFA" w:rsidRPr="007570D1">
        <w:rPr>
          <w:rFonts w:ascii="Times New Roman" w:hAnsi="Times New Roman" w:cs="Times New Roman"/>
          <w:sz w:val="28"/>
          <w:szCs w:val="28"/>
          <w:lang w:val="uk-UA"/>
        </w:rPr>
        <w:t>ортобіотики</w:t>
      </w:r>
      <w:proofErr w:type="spellEnd"/>
      <w:r w:rsidR="00767CFA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 та вмотивованості </w:t>
      </w:r>
      <w:r w:rsidR="00983AB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67CFA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а рівень культури здоров’я. Автори зазначають, що необхідно збагатити зміст професійно-практичної підготовки майбутніх фахівців </w:t>
      </w:r>
      <w:proofErr w:type="spellStart"/>
      <w:r w:rsidR="00767CFA" w:rsidRPr="007570D1">
        <w:rPr>
          <w:rFonts w:ascii="Times New Roman" w:hAnsi="Times New Roman" w:cs="Times New Roman"/>
          <w:sz w:val="28"/>
          <w:szCs w:val="28"/>
          <w:lang w:val="uk-UA"/>
        </w:rPr>
        <w:t>здоров’язберігаючими</w:t>
      </w:r>
      <w:proofErr w:type="spellEnd"/>
      <w:r w:rsidR="00767CFA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технологіями та більше уваги приділяти формуванню культури ведення здорового способу життя [1, с. 29].</w:t>
      </w:r>
      <w:r w:rsidR="009A1634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088">
        <w:rPr>
          <w:rFonts w:ascii="Times New Roman" w:hAnsi="Times New Roman" w:cs="Times New Roman"/>
          <w:sz w:val="28"/>
          <w:szCs w:val="28"/>
          <w:lang w:val="uk-UA"/>
        </w:rPr>
        <w:t>Аналіз в</w:t>
      </w:r>
      <w:r w:rsidR="008630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провадження </w:t>
      </w:r>
      <w:proofErr w:type="spellStart"/>
      <w:r w:rsidR="008630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здоров’</w:t>
      </w:r>
      <w:r w:rsidR="00863088" w:rsidRPr="007570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язберігаючих</w:t>
      </w:r>
      <w:proofErr w:type="spellEnd"/>
      <w:r w:rsidR="00863088" w:rsidRPr="007570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технологій в процес професійно-педагогічної підготовки спеціалістів з фізичної культури та спорту</w:t>
      </w:r>
      <w:r w:rsidR="00863088">
        <w:rPr>
          <w:rFonts w:ascii="Times New Roman" w:hAnsi="Times New Roman" w:cs="Times New Roman"/>
          <w:sz w:val="28"/>
          <w:szCs w:val="28"/>
          <w:lang w:val="uk-UA"/>
        </w:rPr>
        <w:t xml:space="preserve"> встановив</w:t>
      </w:r>
      <w:r w:rsidR="00767CFA" w:rsidRPr="007570D1">
        <w:rPr>
          <w:rFonts w:ascii="Times New Roman" w:hAnsi="Times New Roman" w:cs="Times New Roman"/>
          <w:sz w:val="28"/>
          <w:szCs w:val="28"/>
          <w:lang w:val="uk-UA"/>
        </w:rPr>
        <w:t>, що суть поняття «</w:t>
      </w:r>
      <w:proofErr w:type="spellStart"/>
      <w:r w:rsidR="00767CFA" w:rsidRPr="007570D1">
        <w:rPr>
          <w:rFonts w:ascii="Times New Roman" w:hAnsi="Times New Roman" w:cs="Times New Roman"/>
          <w:sz w:val="28"/>
          <w:szCs w:val="28"/>
          <w:lang w:val="uk-UA"/>
        </w:rPr>
        <w:t>здоров’язберігаюча</w:t>
      </w:r>
      <w:proofErr w:type="spellEnd"/>
      <w:r w:rsidR="00767CFA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компетентність» учителя фізичної культури досліджена недостатньо, а тому вимагає подальших наукових пошуків. Необхідно ліквідувати суперечність між сучасною вимогою суспільства до </w:t>
      </w:r>
      <w:proofErr w:type="spellStart"/>
      <w:r w:rsidR="00767CFA" w:rsidRPr="007570D1">
        <w:rPr>
          <w:rFonts w:ascii="Times New Roman" w:hAnsi="Times New Roman" w:cs="Times New Roman"/>
          <w:sz w:val="28"/>
          <w:szCs w:val="28"/>
          <w:lang w:val="uk-UA"/>
        </w:rPr>
        <w:t>здоров’язберігаючої</w:t>
      </w:r>
      <w:proofErr w:type="spellEnd"/>
      <w:r w:rsidR="00767CFA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вчителя фізичної культури і недостатньою теоретико-методологічною і методико-технологічною розробленістю проблеми її формування [2, с. 179].</w:t>
      </w:r>
      <w:r w:rsidR="009A1634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634" w:rsidRPr="00B73CCA" w:rsidRDefault="00427266" w:rsidP="00CA20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Мета</w:t>
      </w:r>
      <w:r w:rsidR="007570D1" w:rsidRPr="00B73CC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работ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и</w:t>
      </w:r>
      <w:r w:rsidR="007570D1" w:rsidRPr="00B73CC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./</w:t>
      </w:r>
      <w:r w:rsidR="007570D1" w:rsidRPr="007570D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Aim</w:t>
      </w:r>
      <w:r w:rsidR="007570D1" w:rsidRPr="00B73CC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7570D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9A1634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Метою дослідження </w:t>
      </w:r>
      <w:r w:rsidR="00863088">
        <w:rPr>
          <w:rFonts w:ascii="Times New Roman" w:hAnsi="Times New Roman" w:cs="Times New Roman"/>
          <w:sz w:val="28"/>
          <w:szCs w:val="28"/>
          <w:lang w:val="uk-UA"/>
        </w:rPr>
        <w:t>стало виявлення</w:t>
      </w:r>
      <w:r w:rsidR="00B73CCA" w:rsidRPr="007142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E4F9A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="00B73CCA" w:rsidRPr="007142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готовності майбутніх учителів фізичної культури </w:t>
      </w:r>
      <w:r w:rsidR="008630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випускного курсу</w:t>
      </w:r>
      <w:r w:rsidR="00B73CCA" w:rsidRPr="007142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організації </w:t>
      </w:r>
      <w:proofErr w:type="spellStart"/>
      <w:r w:rsidR="00B73CCA" w:rsidRPr="007142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здоров’язбережувальної</w:t>
      </w:r>
      <w:proofErr w:type="spellEnd"/>
      <w:r w:rsidR="00B73CCA" w:rsidRPr="007142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 в освітніх закладах</w:t>
      </w:r>
      <w:r w:rsidR="00B73CCA" w:rsidRPr="00B73C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73CCA" w:rsidRPr="00324977" w:rsidRDefault="00427266" w:rsidP="006F31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Мате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</w:t>
      </w:r>
      <w:r w:rsidRPr="007570D1">
        <w:rPr>
          <w:rFonts w:ascii="Times New Roman" w:hAnsi="Times New Roman" w:cs="Times New Roman"/>
          <w:b/>
          <w:noProof/>
          <w:sz w:val="28"/>
          <w:szCs w:val="28"/>
        </w:rPr>
        <w:t>иал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и</w:t>
      </w:r>
      <w:r w:rsidRPr="007570D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Pr="007570D1"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Pr="007570D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Pr="007570D1">
        <w:rPr>
          <w:rFonts w:ascii="Times New Roman" w:hAnsi="Times New Roman" w:cs="Times New Roman"/>
          <w:b/>
          <w:noProof/>
          <w:sz w:val="28"/>
          <w:szCs w:val="28"/>
        </w:rPr>
        <w:t>метод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и</w:t>
      </w:r>
      <w:r w:rsidRPr="007570D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./Materials and methods.</w:t>
      </w:r>
      <w:r w:rsidR="00B73CC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9A1634" w:rsidRPr="007570D1">
        <w:rPr>
          <w:rFonts w:ascii="Times New Roman" w:hAnsi="Times New Roman" w:cs="Times New Roman"/>
          <w:sz w:val="28"/>
          <w:szCs w:val="28"/>
          <w:lang w:val="uk-UA"/>
        </w:rPr>
        <w:t>В дослідженні</w:t>
      </w:r>
      <w:r w:rsidR="00B73CCA">
        <w:rPr>
          <w:rFonts w:ascii="Times New Roman" w:hAnsi="Times New Roman" w:cs="Times New Roman"/>
          <w:sz w:val="28"/>
          <w:szCs w:val="28"/>
          <w:lang w:val="uk-UA"/>
        </w:rPr>
        <w:t>, що було проведено у листопаді 2021 року,</w:t>
      </w:r>
      <w:r w:rsidR="009A1634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 взяли участь </w:t>
      </w:r>
      <w:r w:rsidR="006F31A5">
        <w:rPr>
          <w:rFonts w:ascii="Times New Roman" w:hAnsi="Times New Roman" w:cs="Times New Roman"/>
          <w:sz w:val="28"/>
          <w:szCs w:val="28"/>
          <w:lang w:val="uk-UA"/>
        </w:rPr>
        <w:t xml:space="preserve">48 </w:t>
      </w:r>
      <w:r w:rsidR="009A1634" w:rsidRPr="007570D1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6F31A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A1634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 Криворізького державного педагогічного університету, які навчаються за спеціальністю Сер</w:t>
      </w:r>
      <w:r w:rsidR="00B73CCA">
        <w:rPr>
          <w:rFonts w:ascii="Times New Roman" w:hAnsi="Times New Roman" w:cs="Times New Roman"/>
          <w:sz w:val="28"/>
          <w:szCs w:val="28"/>
          <w:lang w:val="uk-UA"/>
        </w:rPr>
        <w:t xml:space="preserve">едня освіта (Фізична культура). Студентам </w:t>
      </w:r>
      <w:r w:rsidR="008539E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73CCA">
        <w:rPr>
          <w:rFonts w:ascii="Times New Roman" w:hAnsi="Times New Roman" w:cs="Times New Roman"/>
          <w:sz w:val="28"/>
          <w:szCs w:val="28"/>
          <w:lang w:val="uk-UA"/>
        </w:rPr>
        <w:t xml:space="preserve"> курсу (</w:t>
      </w:r>
      <w:r w:rsidR="006F31A5">
        <w:rPr>
          <w:rFonts w:ascii="Times New Roman" w:hAnsi="Times New Roman" w:cs="Times New Roman"/>
          <w:sz w:val="28"/>
          <w:szCs w:val="28"/>
          <w:lang w:val="uk-UA"/>
        </w:rPr>
        <w:t xml:space="preserve">досліджувана група) і </w:t>
      </w:r>
      <w:r w:rsidR="008539E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31A5">
        <w:rPr>
          <w:rFonts w:ascii="Times New Roman" w:hAnsi="Times New Roman" w:cs="Times New Roman"/>
          <w:sz w:val="28"/>
          <w:szCs w:val="28"/>
          <w:lang w:val="uk-UA"/>
        </w:rPr>
        <w:t xml:space="preserve"> курсу (контрольна група) була запропонована анкета, в питаннях яких необхідно було зазначити оцінку за п’ятибальною шкалою з </w:t>
      </w:r>
      <w:r w:rsidR="00B73CCA" w:rsidRPr="00324977">
        <w:rPr>
          <w:rFonts w:ascii="Times New Roman" w:hAnsi="Times New Roman" w:cs="Times New Roman"/>
          <w:sz w:val="28"/>
          <w:szCs w:val="28"/>
          <w:lang w:val="uk-UA"/>
        </w:rPr>
        <w:t>обізнаності з професійними функціями вчителя</w:t>
      </w:r>
      <w:r w:rsidR="00B73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CCA" w:rsidRPr="00324977">
        <w:rPr>
          <w:rFonts w:ascii="Times New Roman" w:hAnsi="Times New Roman" w:cs="Times New Roman"/>
          <w:sz w:val="28"/>
          <w:szCs w:val="28"/>
          <w:lang w:val="uk-UA"/>
        </w:rPr>
        <w:t xml:space="preserve">фізичної культури у провадженні </w:t>
      </w:r>
      <w:proofErr w:type="spellStart"/>
      <w:r w:rsidR="00B73CCA" w:rsidRPr="00324977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B73CCA">
        <w:rPr>
          <w:rFonts w:ascii="Times New Roman" w:hAnsi="Times New Roman" w:cs="Times New Roman"/>
          <w:sz w:val="28"/>
          <w:szCs w:val="28"/>
          <w:lang w:val="uk-UA"/>
        </w:rPr>
        <w:t>оров’язбережувальної</w:t>
      </w:r>
      <w:proofErr w:type="spellEnd"/>
      <w:r w:rsidR="00B73CC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 </w:t>
      </w:r>
      <w:r w:rsidR="00B73CCA" w:rsidRPr="00324977">
        <w:rPr>
          <w:rFonts w:ascii="Times New Roman" w:hAnsi="Times New Roman" w:cs="Times New Roman"/>
          <w:sz w:val="28"/>
          <w:szCs w:val="28"/>
          <w:lang w:val="uk-UA"/>
        </w:rPr>
        <w:t xml:space="preserve">знань </w:t>
      </w:r>
      <w:proofErr w:type="spellStart"/>
      <w:r w:rsidR="00B73CCA" w:rsidRPr="00324977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B73CCA">
        <w:rPr>
          <w:rFonts w:ascii="Times New Roman" w:hAnsi="Times New Roman" w:cs="Times New Roman"/>
          <w:sz w:val="28"/>
          <w:szCs w:val="28"/>
          <w:lang w:val="uk-UA"/>
        </w:rPr>
        <w:t>оров’язбережувальної</w:t>
      </w:r>
      <w:proofErr w:type="spellEnd"/>
      <w:r w:rsidR="00B73CC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</w:t>
      </w:r>
      <w:r w:rsidR="00B73CCA" w:rsidRPr="00324977">
        <w:rPr>
          <w:rFonts w:ascii="Times New Roman" w:hAnsi="Times New Roman" w:cs="Times New Roman"/>
          <w:sz w:val="28"/>
          <w:szCs w:val="28"/>
          <w:lang w:val="uk-UA"/>
        </w:rPr>
        <w:t xml:space="preserve">вмінь організації навчально-виховного середовища у </w:t>
      </w:r>
      <w:proofErr w:type="spellStart"/>
      <w:r w:rsidR="00B73CCA" w:rsidRPr="00324977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здоров’язбережувальній</w:t>
      </w:r>
      <w:proofErr w:type="spellEnd"/>
      <w:r w:rsidR="00B73CCA" w:rsidRPr="00324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CCA" w:rsidRPr="00324977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діяльності.</w:t>
      </w:r>
      <w:r w:rsidR="00E11DBC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анкетування студентів контрольної групи умовно виконували функцію початкового рівня предмету дослідження.</w:t>
      </w:r>
    </w:p>
    <w:p w:rsidR="00CF64C7" w:rsidRPr="00172AE6" w:rsidRDefault="00863088" w:rsidP="00CA20F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результатами отриманих даних </w:t>
      </w:r>
      <w:r w:rsidRPr="00DE36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було склад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ено характеристику та визначено</w:t>
      </w:r>
      <w:r w:rsidRPr="00DE36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рівні готовності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випускників </w:t>
      </w:r>
      <w:r w:rsidRPr="00DE36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професійної </w:t>
      </w:r>
      <w:r w:rsidRPr="002B24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і. </w:t>
      </w:r>
      <w:r w:rsidR="00CF6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Високий рівень: </w:t>
      </w:r>
      <w:r w:rsidR="00CF64C7" w:rsidRPr="003767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студент добре обізнаний, вільно орієнтуватися в технологіях з впровадження </w:t>
      </w:r>
      <w:proofErr w:type="spellStart"/>
      <w:r w:rsidR="00CF64C7" w:rsidRPr="003767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здоров’язбереження</w:t>
      </w:r>
      <w:proofErr w:type="spellEnd"/>
      <w:r w:rsidR="00CF64C7" w:rsidRPr="003767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здатний використовувати різні види та форми рухової</w:t>
      </w:r>
      <w:r w:rsidR="00CF64C7" w:rsidRPr="00376746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="00CF64C7" w:rsidRPr="003767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активності для активного відпочинку та ведення здорового</w:t>
      </w:r>
      <w:r w:rsidR="00CF64C7" w:rsidRPr="00376746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="00CF64C7" w:rsidRPr="003767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способу життя</w:t>
      </w:r>
      <w:r w:rsidR="00CF6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F64C7">
        <w:rPr>
          <w:rFonts w:ascii="Times New Roman" w:hAnsi="Times New Roman" w:cs="Times New Roman"/>
          <w:sz w:val="28"/>
          <w:szCs w:val="28"/>
          <w:lang w:val="uk-UA"/>
        </w:rPr>
        <w:t xml:space="preserve">Вище за середній рівень: </w:t>
      </w:r>
      <w:r w:rsidR="00CF64C7" w:rsidRPr="00D2635D">
        <w:rPr>
          <w:rFonts w:ascii="Times New Roman" w:hAnsi="Times New Roman" w:cs="Times New Roman"/>
          <w:sz w:val="28"/>
          <w:szCs w:val="28"/>
          <w:lang w:val="uk-UA"/>
        </w:rPr>
        <w:t xml:space="preserve">притаманний студентам з яскраво вираженою позитивною мотивацією до </w:t>
      </w:r>
      <w:proofErr w:type="spellStart"/>
      <w:r w:rsidR="00CF64C7" w:rsidRPr="00D2635D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здоров’язбережувальної</w:t>
      </w:r>
      <w:proofErr w:type="spellEnd"/>
      <w:r w:rsidR="00CF64C7" w:rsidRPr="00D2635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</w:t>
      </w:r>
      <w:r w:rsidR="00CF64C7">
        <w:rPr>
          <w:rFonts w:ascii="Times New Roman" w:hAnsi="Times New Roman" w:cs="Times New Roman"/>
          <w:sz w:val="28"/>
          <w:szCs w:val="28"/>
          <w:lang w:val="uk-UA"/>
        </w:rPr>
        <w:t xml:space="preserve">Середній рівень: </w:t>
      </w:r>
      <w:r w:rsidR="00CF64C7" w:rsidRPr="00E96B2C">
        <w:rPr>
          <w:rFonts w:ascii="Times New Roman" w:hAnsi="Times New Roman" w:cs="Times New Roman"/>
          <w:sz w:val="28"/>
          <w:szCs w:val="28"/>
          <w:lang w:val="uk-UA"/>
        </w:rPr>
        <w:t>властивий</w:t>
      </w:r>
      <w:r w:rsidR="00CF64C7" w:rsidRPr="00550CF6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</w:t>
      </w:r>
      <w:r w:rsidR="00CF6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CF64C7" w:rsidRPr="00D408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яких переважає вагоме усвідомлення цінностей здоров’я та позитивне ставлення до </w:t>
      </w:r>
      <w:proofErr w:type="spellStart"/>
      <w:r w:rsidR="00CF64C7" w:rsidRPr="00D408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здоров’язбережувальної</w:t>
      </w:r>
      <w:proofErr w:type="spellEnd"/>
      <w:r w:rsidR="00CF64C7" w:rsidRPr="00D408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діяльності. </w:t>
      </w:r>
      <w:r w:rsidR="00CF6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Нижче за середній рівень: </w:t>
      </w:r>
      <w:r w:rsidR="00CF64C7" w:rsidRPr="00172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відповідає студентам з ситуативними інтересами до </w:t>
      </w:r>
      <w:proofErr w:type="spellStart"/>
      <w:r w:rsidR="00CF64C7" w:rsidRPr="00172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здоров’язбережувальної</w:t>
      </w:r>
      <w:proofErr w:type="spellEnd"/>
      <w:r w:rsidR="00CF64C7" w:rsidRPr="00172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</w:t>
      </w:r>
      <w:r w:rsidR="00CF6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Низький рівень:  </w:t>
      </w:r>
      <w:r w:rsidR="00B73C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притаманний</w:t>
      </w:r>
      <w:r w:rsidR="00CF64C7" w:rsidRPr="00172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студент</w:t>
      </w:r>
      <w:r w:rsidR="00B73C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</w:t>
      </w:r>
      <w:r w:rsidR="00CF64C7" w:rsidRPr="00172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мають понижений інтерес до </w:t>
      </w:r>
      <w:proofErr w:type="spellStart"/>
      <w:r w:rsidR="00CF64C7" w:rsidRPr="00172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здоров’язбережувальної</w:t>
      </w:r>
      <w:proofErr w:type="spellEnd"/>
      <w:r w:rsidR="00CF64C7" w:rsidRPr="00172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діяльності.</w:t>
      </w:r>
    </w:p>
    <w:p w:rsidR="002229E3" w:rsidRDefault="00E11DBC" w:rsidP="002229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</w:t>
      </w:r>
      <w:r w:rsidRPr="00E11D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встановлення подібності або відмінності</w:t>
      </w:r>
      <w:r w:rsidRPr="00E11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9EF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2E4F9A">
        <w:rPr>
          <w:rFonts w:ascii="Times New Roman" w:hAnsi="Times New Roman" w:cs="Times New Roman"/>
          <w:sz w:val="28"/>
          <w:szCs w:val="28"/>
          <w:lang w:val="uk-UA"/>
        </w:rPr>
        <w:t>порівняні</w:t>
      </w:r>
      <w:r w:rsidR="00853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C8E">
        <w:rPr>
          <w:rFonts w:ascii="Times New Roman" w:hAnsi="Times New Roman" w:cs="Times New Roman"/>
          <w:sz w:val="28"/>
          <w:szCs w:val="28"/>
          <w:lang w:val="uk-UA"/>
        </w:rPr>
        <w:t xml:space="preserve">середні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показники </w:t>
      </w:r>
      <w:r w:rsidR="00E90C8E">
        <w:rPr>
          <w:rFonts w:ascii="Times New Roman" w:hAnsi="Times New Roman" w:cs="Times New Roman"/>
          <w:sz w:val="28"/>
          <w:szCs w:val="28"/>
          <w:lang w:val="uk-UA"/>
        </w:rPr>
        <w:t xml:space="preserve">даних анкетування </w:t>
      </w:r>
      <w:r w:rsidR="00863088" w:rsidRPr="00E11DBC">
        <w:rPr>
          <w:rFonts w:ascii="Times New Roman" w:hAnsi="Times New Roman" w:cs="Times New Roman"/>
          <w:sz w:val="28"/>
          <w:szCs w:val="28"/>
          <w:lang w:val="uk-UA"/>
        </w:rPr>
        <w:t>були перераховані у відсотки</w:t>
      </w:r>
      <w:r>
        <w:rPr>
          <w:rFonts w:ascii="Times New Roman" w:hAnsi="Times New Roman" w:cs="Times New Roman"/>
          <w:sz w:val="28"/>
          <w:szCs w:val="28"/>
          <w:lang w:val="uk-UA"/>
        </w:rPr>
        <w:t>. Оскільки вибірки були малочисельними отримані результати не вважаються достовірними, а тільки такими, що освітлюють тенденцію розвитку досліджуваного явища.</w:t>
      </w:r>
    </w:p>
    <w:p w:rsidR="00E90C8E" w:rsidRPr="002229E3" w:rsidRDefault="00427266" w:rsidP="002229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26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Результа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ти</w:t>
      </w:r>
      <w:r w:rsidRPr="0042726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и об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говорення</w:t>
      </w:r>
      <w:r w:rsidRPr="0042726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./</w:t>
      </w:r>
      <w:r w:rsidRPr="007570D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Results</w:t>
      </w:r>
      <w:r w:rsidRPr="0042726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7570D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and</w:t>
      </w:r>
      <w:r w:rsidRPr="0042726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7570D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discussion</w:t>
      </w:r>
      <w:r w:rsidRPr="0042726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E90C8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8E2388" w:rsidRPr="007570D1" w:rsidRDefault="008E2388" w:rsidP="00CA20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9358C" w:rsidRPr="007570D1" w:rsidRDefault="00E9358C" w:rsidP="00CA20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70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506951" cy="2119745"/>
            <wp:effectExtent l="19050" t="0" r="17549" b="0"/>
            <wp:docPr id="1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2388" w:rsidRDefault="00B73CCA" w:rsidP="00CA20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Рис. 1. Рівень</w:t>
      </w:r>
      <w:r w:rsidR="00E9358C" w:rsidRPr="008E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обізнаності з професійними функціями вчителя </w:t>
      </w:r>
      <w:r w:rsidR="008E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9358C" w:rsidRDefault="00E9358C" w:rsidP="00CA20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фізичної культури у провадженні </w:t>
      </w:r>
      <w:proofErr w:type="spellStart"/>
      <w:r w:rsidRPr="008E2388">
        <w:rPr>
          <w:rFonts w:ascii="Times New Roman" w:hAnsi="Times New Roman" w:cs="Times New Roman"/>
          <w:b/>
          <w:sz w:val="28"/>
          <w:szCs w:val="28"/>
          <w:lang w:val="uk-UA"/>
        </w:rPr>
        <w:t>здоров’язбережувальної</w:t>
      </w:r>
      <w:proofErr w:type="spellEnd"/>
      <w:r w:rsidRPr="008E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діяльності.</w:t>
      </w:r>
    </w:p>
    <w:p w:rsidR="007D5223" w:rsidRDefault="007D5223" w:rsidP="007D52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Аналіз результатів дослідження показав, що показник </w:t>
      </w:r>
      <w:r w:rsidRPr="00305A6C">
        <w:rPr>
          <w:rFonts w:ascii="Times New Roman" w:hAnsi="Times New Roman" w:cs="Times New Roman"/>
          <w:sz w:val="28"/>
          <w:szCs w:val="28"/>
          <w:lang w:val="uk-UA"/>
        </w:rPr>
        <w:t>обізнан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05A6C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5A6C">
        <w:rPr>
          <w:rFonts w:ascii="Times New Roman" w:hAnsi="Times New Roman" w:cs="Times New Roman"/>
          <w:sz w:val="28"/>
          <w:szCs w:val="28"/>
          <w:lang w:val="uk-UA"/>
        </w:rPr>
        <w:t xml:space="preserve"> з професійними функціями вчителя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305A6C">
        <w:rPr>
          <w:rFonts w:ascii="Times New Roman" w:hAnsi="Times New Roman" w:cs="Times New Roman"/>
          <w:sz w:val="28"/>
          <w:szCs w:val="28"/>
          <w:lang w:val="uk-UA"/>
        </w:rPr>
        <w:t xml:space="preserve">ізичної культури у провадженні </w:t>
      </w:r>
      <w:proofErr w:type="spellStart"/>
      <w:r w:rsidRPr="00305A6C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здоров’язбережувальної</w:t>
      </w:r>
      <w:proofErr w:type="spellEnd"/>
      <w:r w:rsidRPr="00305A6C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високого рівня обізнаності відповідає більшості студентів випускного курсу, в той час як у студентів 1 курсу тільки п’ятій частині (рис.1).</w:t>
      </w:r>
    </w:p>
    <w:p w:rsidR="007D5223" w:rsidRDefault="007D5223" w:rsidP="007D52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Самооцінка студентами випускного курсу знань з впровадження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у всіх випадках відповідає високому і вище за середній рівням знань, в той час як у більшої половини студентів контрольної групи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середньому і нижче за середній рівням. (рис. 2).</w:t>
      </w:r>
    </w:p>
    <w:p w:rsidR="007D5223" w:rsidRDefault="007D5223" w:rsidP="00CA20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20F9" w:rsidRPr="007570D1" w:rsidRDefault="00CA20F9" w:rsidP="00CA20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70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661256" cy="2355273"/>
            <wp:effectExtent l="19050" t="0" r="15644" b="6927"/>
            <wp:docPr id="6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20F9" w:rsidRDefault="00CA20F9" w:rsidP="00CA20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E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73CCA">
        <w:rPr>
          <w:rFonts w:ascii="Times New Roman" w:hAnsi="Times New Roman" w:cs="Times New Roman"/>
          <w:b/>
          <w:sz w:val="28"/>
          <w:szCs w:val="28"/>
          <w:lang w:val="uk-UA"/>
        </w:rPr>
        <w:t>Рівень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знань</w:t>
      </w:r>
      <w:r w:rsidRPr="008E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4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впровадження </w:t>
      </w:r>
      <w:proofErr w:type="spellStart"/>
      <w:r w:rsidRPr="008E2388">
        <w:rPr>
          <w:rFonts w:ascii="Times New Roman" w:hAnsi="Times New Roman" w:cs="Times New Roman"/>
          <w:b/>
          <w:sz w:val="28"/>
          <w:szCs w:val="28"/>
          <w:lang w:val="uk-UA"/>
        </w:rPr>
        <w:t>здоров’язбережувальної</w:t>
      </w:r>
      <w:proofErr w:type="spellEnd"/>
      <w:r w:rsidRPr="008E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діяльності.</w:t>
      </w:r>
    </w:p>
    <w:p w:rsidR="007D5223" w:rsidRDefault="007D5223" w:rsidP="007D52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самооцінки студентів випускного курсу вмінь </w:t>
      </w:r>
      <w:r w:rsidRPr="00F81D0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навчально-виховного середовища у </w:t>
      </w:r>
      <w:proofErr w:type="spellStart"/>
      <w:r w:rsidRPr="00F81D0E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показав у всіх респондентів відповідність рівню вищий за середній (рис. 3). На час дослідження сформовані вміння студентів є результатом навчальної діяльності на практичних заняттях, </w:t>
      </w:r>
      <w:r w:rsidRPr="00AD40E4">
        <w:rPr>
          <w:rFonts w:ascii="Times New Roman" w:hAnsi="Times New Roman" w:cs="Times New Roman"/>
          <w:sz w:val="28"/>
          <w:szCs w:val="28"/>
          <w:lang w:val="uk-UA"/>
        </w:rPr>
        <w:t>психолого-педагогічн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навчальної практики та </w:t>
      </w:r>
      <w:r w:rsidRPr="00AD40E4">
        <w:rPr>
          <w:rFonts w:ascii="Times New Roman" w:hAnsi="Times New Roman" w:cs="Times New Roman"/>
          <w:sz w:val="28"/>
          <w:szCs w:val="28"/>
          <w:lang w:val="uk-UA"/>
        </w:rPr>
        <w:t>зі спортивного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виробничої практики </w:t>
      </w:r>
      <w:r w:rsidRPr="00AD40E4">
        <w:rPr>
          <w:rFonts w:ascii="Times New Roman" w:hAnsi="Times New Roman" w:cs="Times New Roman"/>
          <w:sz w:val="28"/>
          <w:szCs w:val="28"/>
          <w:lang w:val="uk-UA"/>
        </w:rPr>
        <w:t>у дитячому оздоровчому таборі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Половина студентів першокурсників, які складають контрольну групу, зазначили оцінку вмінь </w:t>
      </w:r>
      <w:r w:rsidRPr="00F81D0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навчально-виховного середовища у </w:t>
      </w:r>
      <w:proofErr w:type="spellStart"/>
      <w:r w:rsidRPr="00F81D0E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на рівнях вище за середній і високий, що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може </w:t>
      </w:r>
      <w:r w:rsidRPr="006457B9">
        <w:rPr>
          <w:rFonts w:ascii="Times New Roman" w:hAnsi="Times New Roman" w:cs="Times New Roman"/>
          <w:sz w:val="28"/>
          <w:szCs w:val="28"/>
          <w:lang w:val="uk-UA"/>
        </w:rPr>
        <w:t>свідчити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отриманий досвід під час навчання в дитячо-юнацьких спортивних школах або спортивних клубах. </w:t>
      </w:r>
    </w:p>
    <w:p w:rsidR="006C478C" w:rsidRPr="00CA20F9" w:rsidRDefault="006C478C" w:rsidP="00CA2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0F9" w:rsidRPr="007570D1" w:rsidRDefault="00CA20F9" w:rsidP="00CA20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70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725333" cy="2341418"/>
            <wp:effectExtent l="19050" t="0" r="27767" b="1732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20F9" w:rsidRDefault="00B73CCA" w:rsidP="00CA20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Рис.</w:t>
      </w:r>
      <w:r w:rsidR="006C4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Рівень</w:t>
      </w:r>
      <w:r w:rsidR="00CA20F9" w:rsidRPr="008E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20F9">
        <w:rPr>
          <w:rFonts w:ascii="Times New Roman" w:hAnsi="Times New Roman" w:cs="Times New Roman"/>
          <w:b/>
          <w:sz w:val="28"/>
          <w:szCs w:val="28"/>
          <w:lang w:val="uk-UA"/>
        </w:rPr>
        <w:t>вмінь організації навчально-виховного середовища</w:t>
      </w:r>
      <w:r w:rsidR="00CA20F9" w:rsidRPr="008E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2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="00CA20F9" w:rsidRPr="008E2388">
        <w:rPr>
          <w:rFonts w:ascii="Times New Roman" w:hAnsi="Times New Roman" w:cs="Times New Roman"/>
          <w:b/>
          <w:sz w:val="28"/>
          <w:szCs w:val="28"/>
          <w:lang w:val="uk-UA"/>
        </w:rPr>
        <w:t>здоров’язбережувальн</w:t>
      </w:r>
      <w:r w:rsidR="00CA20F9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proofErr w:type="spellEnd"/>
      <w:r w:rsidR="00CA20F9" w:rsidRPr="008E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діяльності.</w:t>
      </w:r>
    </w:p>
    <w:p w:rsidR="00291858" w:rsidRDefault="00291858" w:rsidP="006472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858" w:rsidRDefault="00BF203E" w:rsidP="0029185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Кінцевим результатом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навчання за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освітньо-професійно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ою, за </w:t>
      </w:r>
      <w:r w:rsidRPr="00BF20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якою більша кількість предметів з циклу професійної підготовки безпосередньо спрямована на формування </w:t>
      </w:r>
      <w:proofErr w:type="spellStart"/>
      <w:r w:rsidRPr="00BF20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здоров’язбережувальної</w:t>
      </w:r>
      <w:proofErr w:type="spellEnd"/>
      <w:r w:rsidRPr="00BF20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 майбутніх учителів фізичної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культури, </w:t>
      </w:r>
      <w:r w:rsidR="006457B9" w:rsidRPr="00BF20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="006457B9"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набуття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BF20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студентів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знань, умінь і навичок </w:t>
      </w:r>
      <w:proofErr w:type="spellStart"/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здоров’язбережувальної</w:t>
      </w:r>
      <w:proofErr w:type="spellEnd"/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</w:t>
      </w:r>
      <w:r w:rsidR="006457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</w:t>
      </w:r>
      <w:r w:rsidR="006457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нь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правил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профілактики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травматизму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надання</w:t>
      </w:r>
      <w:r w:rsidR="006457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першої медичної</w:t>
      </w:r>
      <w:r w:rsidRPr="00BD7DE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допомоги; вмі</w:t>
      </w:r>
      <w:r w:rsidR="006457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застосовувати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практиці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6457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основні</w:t>
      </w:r>
      <w:r w:rsidR="006457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знання з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фізіології,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біомеханіки,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морфології,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психології,</w:t>
      </w:r>
      <w:r w:rsidRPr="00BD7DE4">
        <w:rPr>
          <w:rFonts w:ascii="Times New Roman" w:hAnsi="Times New Roman" w:cs="Times New Roman"/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біохімії</w:t>
      </w:r>
      <w:r w:rsidR="008539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="008539E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теорії фізичного виховання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розвитку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фізичних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якостей,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формування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рухових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умінь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навичок;</w:t>
      </w:r>
      <w:r w:rsidR="006457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готовн</w:t>
      </w:r>
      <w:r w:rsidR="006457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</w:t>
      </w:r>
      <w:r w:rsidR="006457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зміцнення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особистого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539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громадського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здоров’я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шляхом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використання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рухової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активності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інших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чинників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здорового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способу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життя; здатні</w:t>
      </w:r>
      <w:r w:rsidR="006457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сть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здійснювати організацію діяльності учнів з</w:t>
      </w:r>
      <w:r w:rsidRPr="00BD7DE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D7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використанням різних видів та форм рухової активності</w:t>
      </w:r>
      <w:r w:rsidRPr="007142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91858" w:rsidRDefault="007570D1" w:rsidP="002918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26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</w:t>
      </w:r>
      <w:r w:rsidR="0042726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исновки</w:t>
      </w:r>
      <w:r w:rsidRPr="0042726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./</w:t>
      </w:r>
      <w:r w:rsidRPr="007570D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Conclusions</w:t>
      </w:r>
      <w:r w:rsidRPr="0042726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6457B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A00E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Дослідження </w:t>
      </w:r>
      <w:r w:rsidR="002229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оцінкою студентів/</w:t>
      </w:r>
      <w:r w:rsidR="00BA00E1" w:rsidRPr="007142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майбутніх учителів фізичної культури </w:t>
      </w:r>
      <w:r w:rsidR="00BA00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випускного курсу</w:t>
      </w:r>
      <w:r w:rsidR="00BA00E1" w:rsidRPr="007142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B2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визначило їх рівень готовності як високий і вище за середній </w:t>
      </w:r>
      <w:r w:rsidR="002918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291858" w:rsidRPr="00305A6C">
        <w:rPr>
          <w:rFonts w:ascii="Times New Roman" w:hAnsi="Times New Roman" w:cs="Times New Roman"/>
          <w:sz w:val="28"/>
          <w:szCs w:val="28"/>
          <w:lang w:val="uk-UA"/>
        </w:rPr>
        <w:t xml:space="preserve">обізнаності з професійними функціями вчителя </w:t>
      </w:r>
      <w:r w:rsidR="0029185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291858" w:rsidRPr="00305A6C">
        <w:rPr>
          <w:rFonts w:ascii="Times New Roman" w:hAnsi="Times New Roman" w:cs="Times New Roman"/>
          <w:sz w:val="28"/>
          <w:szCs w:val="28"/>
          <w:lang w:val="uk-UA"/>
        </w:rPr>
        <w:t xml:space="preserve">ізичної культури у </w:t>
      </w:r>
      <w:r w:rsidR="0029185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91858" w:rsidRPr="00305A6C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провадженні </w:t>
      </w:r>
      <w:proofErr w:type="spellStart"/>
      <w:r w:rsidR="00291858" w:rsidRPr="00305A6C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здоров’язбережувальної</w:t>
      </w:r>
      <w:proofErr w:type="spellEnd"/>
      <w:r w:rsidR="00291858" w:rsidRPr="00305A6C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291858">
        <w:rPr>
          <w:rFonts w:ascii="Times New Roman" w:hAnsi="Times New Roman" w:cs="Times New Roman"/>
          <w:sz w:val="28"/>
          <w:szCs w:val="28"/>
          <w:lang w:val="uk-UA"/>
        </w:rPr>
        <w:t xml:space="preserve"> та знань з </w:t>
      </w:r>
      <w:r w:rsidR="00291858">
        <w:rPr>
          <w:rFonts w:ascii="Times New Roman" w:hAnsi="Times New Roman" w:cs="Times New Roman"/>
          <w:sz w:val="28"/>
          <w:szCs w:val="28"/>
          <w:lang w:val="uk-UA"/>
        </w:rPr>
        <w:lastRenderedPageBreak/>
        <w:t>її впровадження</w:t>
      </w:r>
      <w:r w:rsidR="003B234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BA0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рівень готовності вище за середній</w:t>
      </w:r>
      <w:r w:rsidR="003B234C" w:rsidRPr="003B2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B2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всіх випускників</w:t>
      </w:r>
      <w:r w:rsidR="003B2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85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91858" w:rsidRPr="00F81D0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навчально-виховного середовища у </w:t>
      </w:r>
      <w:proofErr w:type="spellStart"/>
      <w:r w:rsidR="00291858" w:rsidRPr="00F81D0E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здоров’язбережувальній</w:t>
      </w:r>
      <w:proofErr w:type="spellEnd"/>
      <w:r w:rsidR="00291858" w:rsidRPr="00F81D0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E9358C" w:rsidRPr="00427266" w:rsidRDefault="00E9358C" w:rsidP="00CA20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266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767CFA" w:rsidRPr="007570D1" w:rsidRDefault="00767CFA" w:rsidP="00CA2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93B23" w:rsidRPr="007570D1">
        <w:rPr>
          <w:rFonts w:ascii="Times New Roman" w:hAnsi="Times New Roman" w:cs="Times New Roman"/>
          <w:sz w:val="28"/>
          <w:szCs w:val="28"/>
          <w:lang w:val="uk-UA"/>
        </w:rPr>
        <w:t>Борисенко</w:t>
      </w:r>
      <w:r w:rsidR="00901A64" w:rsidRPr="007570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93B23" w:rsidRPr="007570D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01A64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93B23" w:rsidRPr="007570D1">
        <w:rPr>
          <w:rFonts w:ascii="Times New Roman" w:hAnsi="Times New Roman" w:cs="Times New Roman"/>
          <w:sz w:val="28"/>
          <w:szCs w:val="28"/>
          <w:lang w:val="uk-UA"/>
        </w:rPr>
        <w:t>Остополець</w:t>
      </w:r>
      <w:proofErr w:type="spellEnd"/>
      <w:r w:rsidR="00901A64" w:rsidRPr="007570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93B23" w:rsidRPr="007570D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01A64" w:rsidRPr="007570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3B23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A64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Ортобіотика як інноваційна технологія навчання </w:t>
      </w:r>
      <w:proofErr w:type="spellStart"/>
      <w:r w:rsidR="00901A64" w:rsidRPr="007570D1">
        <w:rPr>
          <w:rFonts w:ascii="Times New Roman" w:hAnsi="Times New Roman" w:cs="Times New Roman"/>
          <w:sz w:val="28"/>
          <w:szCs w:val="28"/>
          <w:lang w:val="uk-UA"/>
        </w:rPr>
        <w:t>здоров’язбереженню</w:t>
      </w:r>
      <w:proofErr w:type="spellEnd"/>
      <w:r w:rsidR="00901A64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// Інтеграція теорії у практику: проблеми, пошуки, перспективи: матеріали </w:t>
      </w:r>
      <w:proofErr w:type="spellStart"/>
      <w:r w:rsidR="00901A64" w:rsidRPr="007570D1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="00901A64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01A64" w:rsidRPr="007570D1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="00901A64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01A64" w:rsidRPr="007570D1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901A64" w:rsidRPr="007570D1">
        <w:rPr>
          <w:rFonts w:ascii="Times New Roman" w:hAnsi="Times New Roman" w:cs="Times New Roman"/>
          <w:sz w:val="28"/>
          <w:szCs w:val="28"/>
          <w:lang w:val="uk-UA"/>
        </w:rPr>
        <w:t>. (м.</w:t>
      </w:r>
      <w:r w:rsidR="002E4F9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01A64" w:rsidRPr="007570D1">
        <w:rPr>
          <w:rFonts w:ascii="Times New Roman" w:hAnsi="Times New Roman" w:cs="Times New Roman"/>
          <w:sz w:val="28"/>
          <w:szCs w:val="28"/>
          <w:lang w:val="uk-UA"/>
        </w:rPr>
        <w:t>Чернігів, 05 листо</w:t>
      </w:r>
      <w:r w:rsidR="002E4F9A">
        <w:rPr>
          <w:rFonts w:ascii="Times New Roman" w:hAnsi="Times New Roman" w:cs="Times New Roman"/>
          <w:sz w:val="28"/>
          <w:szCs w:val="28"/>
          <w:lang w:val="uk-UA"/>
        </w:rPr>
        <w:t>пада 2021 р.) / гол. ред. О. М. </w:t>
      </w:r>
      <w:proofErr w:type="spellStart"/>
      <w:r w:rsidR="00901A64" w:rsidRPr="007570D1">
        <w:rPr>
          <w:rFonts w:ascii="Times New Roman" w:hAnsi="Times New Roman" w:cs="Times New Roman"/>
          <w:sz w:val="28"/>
          <w:szCs w:val="28"/>
          <w:lang w:val="uk-UA"/>
        </w:rPr>
        <w:t>Тогочинський</w:t>
      </w:r>
      <w:proofErr w:type="spellEnd"/>
      <w:r w:rsidR="00901A64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; Академія Державної пенітенціарної служби. Чернігів: Академія </w:t>
      </w:r>
      <w:proofErr w:type="spellStart"/>
      <w:r w:rsidR="00901A64" w:rsidRPr="007570D1">
        <w:rPr>
          <w:rFonts w:ascii="Times New Roman" w:hAnsi="Times New Roman" w:cs="Times New Roman"/>
          <w:sz w:val="28"/>
          <w:szCs w:val="28"/>
          <w:lang w:val="uk-UA"/>
        </w:rPr>
        <w:t>ДПтС</w:t>
      </w:r>
      <w:proofErr w:type="spellEnd"/>
      <w:r w:rsidR="00901A64"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, 2021. </w:t>
      </w:r>
      <w:r w:rsidR="00493B23" w:rsidRPr="007570D1">
        <w:rPr>
          <w:rFonts w:ascii="Times New Roman" w:hAnsi="Times New Roman" w:cs="Times New Roman"/>
          <w:sz w:val="28"/>
          <w:szCs w:val="28"/>
          <w:lang w:val="uk-UA"/>
        </w:rPr>
        <w:t>С 25</w:t>
      </w:r>
      <w:r w:rsidR="00493B23" w:rsidRPr="007570D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493B23" w:rsidRPr="007570D1">
        <w:rPr>
          <w:rFonts w:ascii="Times New Roman" w:hAnsi="Times New Roman" w:cs="Times New Roman"/>
          <w:sz w:val="28"/>
          <w:szCs w:val="28"/>
          <w:lang w:val="uk-UA"/>
        </w:rPr>
        <w:t>29.</w:t>
      </w:r>
    </w:p>
    <w:p w:rsidR="00767CFA" w:rsidRPr="007570D1" w:rsidRDefault="00767CFA" w:rsidP="00CA20F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7570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7570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Брюханова</w:t>
      </w:r>
      <w:proofErr w:type="spellEnd"/>
      <w:r w:rsidRPr="007570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="00D42226" w:rsidRPr="007570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</w:t>
      </w:r>
      <w:r w:rsidR="008630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Впровадження </w:t>
      </w:r>
      <w:proofErr w:type="spellStart"/>
      <w:r w:rsidR="008630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здоров’</w:t>
      </w:r>
      <w:r w:rsidRPr="007570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язберігаючих</w:t>
      </w:r>
      <w:proofErr w:type="spellEnd"/>
      <w:r w:rsidRPr="007570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технологій в процес професійно-педагогічної підготовки спеціалістів з фізичної культури та спорту</w:t>
      </w:r>
      <w:r w:rsidR="00D42226" w:rsidRPr="007570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="002E4F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42226" w:rsidRPr="007570D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>Наукові записки. Серія: Педагогічні науки</w:t>
      </w:r>
      <w:r w:rsidR="00D42226" w:rsidRPr="007570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2020, 189: </w:t>
      </w:r>
      <w:r w:rsidRPr="007570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С. </w:t>
      </w:r>
      <w:r w:rsidR="00D42226" w:rsidRPr="007570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174</w:t>
      </w:r>
      <w:r w:rsidRPr="007570D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D42226" w:rsidRPr="007570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179.</w:t>
      </w:r>
    </w:p>
    <w:p w:rsidR="00767CFA" w:rsidRPr="007570D1" w:rsidRDefault="00767CFA" w:rsidP="00CA20F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7570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 w:rsidRPr="007570D1">
        <w:rPr>
          <w:rFonts w:ascii="Times New Roman" w:hAnsi="Times New Roman" w:cs="Times New Roman"/>
          <w:sz w:val="28"/>
          <w:szCs w:val="28"/>
          <w:lang w:val="uk-UA"/>
        </w:rPr>
        <w:t>Суханова</w:t>
      </w:r>
      <w:proofErr w:type="spellEnd"/>
      <w:r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 Г., </w:t>
      </w:r>
      <w:proofErr w:type="spellStart"/>
      <w:r w:rsidRPr="007570D1">
        <w:rPr>
          <w:rFonts w:ascii="Times New Roman" w:hAnsi="Times New Roman" w:cs="Times New Roman"/>
          <w:sz w:val="28"/>
          <w:szCs w:val="28"/>
          <w:lang w:val="uk-UA"/>
        </w:rPr>
        <w:t>Купрєєнко</w:t>
      </w:r>
      <w:proofErr w:type="spellEnd"/>
      <w:r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 М., Іваненко В. Готовність майбутніх учителів фізичної культури до використання </w:t>
      </w:r>
      <w:proofErr w:type="spellStart"/>
      <w:r w:rsidRPr="007570D1">
        <w:rPr>
          <w:rFonts w:ascii="Times New Roman" w:hAnsi="Times New Roman" w:cs="Times New Roman"/>
          <w:sz w:val="28"/>
          <w:szCs w:val="28"/>
          <w:lang w:val="uk-UA"/>
        </w:rPr>
        <w:t>здов’язбережувальних</w:t>
      </w:r>
      <w:proofErr w:type="spellEnd"/>
      <w:r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на уроках фізичної культури // </w:t>
      </w:r>
      <w:proofErr w:type="spellStart"/>
      <w:r w:rsidRPr="007570D1">
        <w:rPr>
          <w:rFonts w:ascii="Times New Roman" w:hAnsi="Times New Roman" w:cs="Times New Roman"/>
          <w:sz w:val="28"/>
          <w:szCs w:val="28"/>
          <w:lang w:val="uk-UA"/>
        </w:rPr>
        <w:t>Орликіана</w:t>
      </w:r>
      <w:proofErr w:type="spellEnd"/>
      <w:r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-2021: проблеми та перспективи сучасної освіти : матеріали </w:t>
      </w:r>
      <w:proofErr w:type="spellStart"/>
      <w:r w:rsidRPr="007570D1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570D1">
        <w:rPr>
          <w:rFonts w:ascii="Times New Roman" w:hAnsi="Times New Roman" w:cs="Times New Roman"/>
          <w:sz w:val="28"/>
          <w:szCs w:val="28"/>
          <w:lang w:val="uk-UA"/>
        </w:rPr>
        <w:t>симп</w:t>
      </w:r>
      <w:proofErr w:type="spellEnd"/>
      <w:r w:rsidRPr="007570D1">
        <w:rPr>
          <w:rFonts w:ascii="Times New Roman" w:hAnsi="Times New Roman" w:cs="Times New Roman"/>
          <w:sz w:val="28"/>
          <w:szCs w:val="28"/>
          <w:lang w:val="uk-UA"/>
        </w:rPr>
        <w:t>. (13 жовтня 2021 р.). / в</w:t>
      </w:r>
      <w:proofErr w:type="spellStart"/>
      <w:r w:rsidRPr="007570D1">
        <w:rPr>
          <w:rFonts w:ascii="Times New Roman" w:hAnsi="Times New Roman" w:cs="Times New Roman"/>
          <w:sz w:val="28"/>
          <w:szCs w:val="28"/>
        </w:rPr>
        <w:t>ідповідальний</w:t>
      </w:r>
      <w:proofErr w:type="spellEnd"/>
      <w:r w:rsidRPr="007570D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570D1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="002E4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0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70D1">
        <w:rPr>
          <w:rFonts w:ascii="Times New Roman" w:hAnsi="Times New Roman" w:cs="Times New Roman"/>
          <w:sz w:val="28"/>
          <w:szCs w:val="28"/>
        </w:rPr>
        <w:t>к.філол.н</w:t>
      </w:r>
      <w:proofErr w:type="spellEnd"/>
      <w:r w:rsidRPr="007570D1">
        <w:rPr>
          <w:rFonts w:ascii="Times New Roman" w:hAnsi="Times New Roman" w:cs="Times New Roman"/>
          <w:sz w:val="28"/>
          <w:szCs w:val="28"/>
        </w:rPr>
        <w:t>. Грищенко</w:t>
      </w:r>
      <w:r w:rsidR="002E4F9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570D1">
        <w:rPr>
          <w:rFonts w:ascii="Times New Roman" w:hAnsi="Times New Roman" w:cs="Times New Roman"/>
          <w:sz w:val="28"/>
          <w:szCs w:val="28"/>
        </w:rPr>
        <w:t>О.</w:t>
      </w:r>
      <w:r w:rsidR="002E4F9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570D1">
        <w:rPr>
          <w:rFonts w:ascii="Times New Roman" w:hAnsi="Times New Roman" w:cs="Times New Roman"/>
          <w:sz w:val="28"/>
          <w:szCs w:val="28"/>
        </w:rPr>
        <w:t>В.</w:t>
      </w:r>
      <w:r w:rsidRPr="007570D1">
        <w:rPr>
          <w:rFonts w:ascii="Times New Roman" w:hAnsi="Times New Roman" w:cs="Times New Roman"/>
          <w:sz w:val="28"/>
          <w:szCs w:val="28"/>
          <w:lang w:val="uk-UA"/>
        </w:rPr>
        <w:t xml:space="preserve"> Миколаїв, 2021. С. 258</w:t>
      </w:r>
      <w:r w:rsidRPr="007570D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570D1">
        <w:rPr>
          <w:rFonts w:ascii="Times New Roman" w:hAnsi="Times New Roman" w:cs="Times New Roman"/>
          <w:sz w:val="28"/>
          <w:szCs w:val="28"/>
          <w:lang w:val="uk-UA"/>
        </w:rPr>
        <w:t>261.</w:t>
      </w:r>
    </w:p>
    <w:p w:rsidR="00767CFA" w:rsidRPr="007570D1" w:rsidRDefault="00767CFA" w:rsidP="00CA2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7CFA" w:rsidRPr="007570D1" w:rsidSect="007570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D88"/>
    <w:multiLevelType w:val="hybridMultilevel"/>
    <w:tmpl w:val="16529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348E4"/>
    <w:multiLevelType w:val="hybridMultilevel"/>
    <w:tmpl w:val="7D7EB8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3F89"/>
    <w:rsid w:val="00003E40"/>
    <w:rsid w:val="00061363"/>
    <w:rsid w:val="00092D2B"/>
    <w:rsid w:val="001451AD"/>
    <w:rsid w:val="001B2A68"/>
    <w:rsid w:val="001F3F89"/>
    <w:rsid w:val="002229E3"/>
    <w:rsid w:val="00251478"/>
    <w:rsid w:val="00283107"/>
    <w:rsid w:val="00283C96"/>
    <w:rsid w:val="00291858"/>
    <w:rsid w:val="002A7567"/>
    <w:rsid w:val="002B5F4D"/>
    <w:rsid w:val="002E4F9A"/>
    <w:rsid w:val="003B234C"/>
    <w:rsid w:val="003D18D2"/>
    <w:rsid w:val="00427266"/>
    <w:rsid w:val="00434191"/>
    <w:rsid w:val="004576D7"/>
    <w:rsid w:val="00493B23"/>
    <w:rsid w:val="006457B9"/>
    <w:rsid w:val="0064729D"/>
    <w:rsid w:val="00677DD5"/>
    <w:rsid w:val="006C478C"/>
    <w:rsid w:val="006E6C1F"/>
    <w:rsid w:val="006F31A5"/>
    <w:rsid w:val="007570D1"/>
    <w:rsid w:val="00767CFA"/>
    <w:rsid w:val="007D5223"/>
    <w:rsid w:val="008539EF"/>
    <w:rsid w:val="00863088"/>
    <w:rsid w:val="008B78CF"/>
    <w:rsid w:val="008E2388"/>
    <w:rsid w:val="008F3AA7"/>
    <w:rsid w:val="00901A64"/>
    <w:rsid w:val="00983AB3"/>
    <w:rsid w:val="009A1634"/>
    <w:rsid w:val="00A11E0D"/>
    <w:rsid w:val="00AD40E4"/>
    <w:rsid w:val="00B15C0D"/>
    <w:rsid w:val="00B27A18"/>
    <w:rsid w:val="00B73CCA"/>
    <w:rsid w:val="00BA00E1"/>
    <w:rsid w:val="00BF203E"/>
    <w:rsid w:val="00C97CC6"/>
    <w:rsid w:val="00CA20F9"/>
    <w:rsid w:val="00CF64C7"/>
    <w:rsid w:val="00D42226"/>
    <w:rsid w:val="00D86183"/>
    <w:rsid w:val="00E11DBC"/>
    <w:rsid w:val="00E20433"/>
    <w:rsid w:val="00E45845"/>
    <w:rsid w:val="00E77CAC"/>
    <w:rsid w:val="00E90C8E"/>
    <w:rsid w:val="00E9358C"/>
    <w:rsid w:val="00F326E5"/>
    <w:rsid w:val="00F64473"/>
    <w:rsid w:val="00F66503"/>
    <w:rsid w:val="00FA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9"/>
    <w:pPr>
      <w:spacing w:after="0" w:afterAutospacing="0"/>
      <w:ind w:firstLine="0"/>
    </w:pPr>
    <w:rPr>
      <w:rFonts w:ascii="Arial" w:eastAsia="Arial" w:hAnsi="Arial" w:cs="Arial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89"/>
    <w:pPr>
      <w:spacing w:after="0" w:afterAutospacing="0" w:line="240" w:lineRule="auto"/>
      <w:ind w:firstLine="0"/>
    </w:pPr>
    <w:rPr>
      <w:rFonts w:asciiTheme="minorHAnsi" w:hAnsiTheme="minorHAnsi"/>
      <w:color w:val="auto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89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935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7CFA"/>
    <w:pPr>
      <w:ind w:left="720"/>
      <w:contextualSpacing/>
    </w:pPr>
  </w:style>
  <w:style w:type="paragraph" w:customStyle="1" w:styleId="1">
    <w:name w:val="Обычный1"/>
    <w:rsid w:val="007570D1"/>
    <w:pPr>
      <w:spacing w:after="200" w:afterAutospacing="0"/>
      <w:ind w:firstLine="0"/>
    </w:pPr>
    <w:rPr>
      <w:rFonts w:ascii="Calibri" w:eastAsia="Calibri" w:hAnsi="Calibri" w:cs="Calibri"/>
      <w:color w:val="000000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valentinamarchi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cherganchik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la-kovtun111@i.ua" TargetMode="Externa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>
        <c:manualLayout>
          <c:layoutTarget val="inner"/>
          <c:xMode val="edge"/>
          <c:yMode val="edge"/>
          <c:x val="0.11029132430805505"/>
          <c:y val="7.0673642301699161E-2"/>
          <c:w val="0.86002829655585566"/>
          <c:h val="0.700262710307985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Досліджувана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Високий</c:v>
                </c:pt>
                <c:pt idx="1">
                  <c:v>Вище за середній</c:v>
                </c:pt>
                <c:pt idx="2">
                  <c:v>Середній</c:v>
                </c:pt>
                <c:pt idx="3">
                  <c:v>Нижче за середній</c:v>
                </c:pt>
                <c:pt idx="4">
                  <c:v>Низький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66.7</c:v>
                </c:pt>
                <c:pt idx="1">
                  <c:v>33.300000000000004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 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Високий</c:v>
                </c:pt>
                <c:pt idx="1">
                  <c:v>Вище за середній</c:v>
                </c:pt>
                <c:pt idx="2">
                  <c:v>Середній</c:v>
                </c:pt>
                <c:pt idx="3">
                  <c:v>Нижче за середній</c:v>
                </c:pt>
                <c:pt idx="4">
                  <c:v>Низький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</c:v>
                </c:pt>
                <c:pt idx="1">
                  <c:v>38.1</c:v>
                </c:pt>
                <c:pt idx="2">
                  <c:v>33.300000000000004</c:v>
                </c:pt>
                <c:pt idx="3">
                  <c:v>4.8</c:v>
                </c:pt>
                <c:pt idx="4">
                  <c:v>4.8</c:v>
                </c:pt>
              </c:numCache>
            </c:numRef>
          </c:val>
        </c:ser>
        <c:dLbls>
          <c:showVal val="1"/>
        </c:dLbls>
        <c:axId val="93471104"/>
        <c:axId val="93473024"/>
      </c:barChart>
      <c:catAx>
        <c:axId val="93471104"/>
        <c:scaling>
          <c:orientation val="minMax"/>
        </c:scaling>
        <c:axPos val="b"/>
        <c:numFmt formatCode="General" sourceLinked="1"/>
        <c:tickLblPos val="nextTo"/>
        <c:crossAx val="93473024"/>
        <c:crosses val="autoZero"/>
        <c:auto val="1"/>
        <c:lblAlgn val="ctr"/>
        <c:lblOffset val="100"/>
      </c:catAx>
      <c:valAx>
        <c:axId val="9347302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Відсотки</a:t>
                </a:r>
              </a:p>
            </c:rich>
          </c:tx>
          <c:layout>
            <c:manualLayout>
              <c:xMode val="edge"/>
              <c:yMode val="edge"/>
              <c:x val="1.2913955381996099E-2"/>
              <c:y val="0.1985912329641073"/>
            </c:manualLayout>
          </c:layout>
        </c:title>
        <c:numFmt formatCode="General" sourceLinked="1"/>
        <c:tickLblPos val="nextTo"/>
        <c:crossAx val="93471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799689660036732"/>
          <c:y val="3.8897333823754441E-3"/>
          <c:w val="0.44171032480903977"/>
          <c:h val="0.16365210397087468"/>
        </c:manualLayout>
      </c:layout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>
        <c:manualLayout>
          <c:layoutTarget val="inner"/>
          <c:xMode val="edge"/>
          <c:yMode val="edge"/>
          <c:x val="0.11029132430805502"/>
          <c:y val="7.0673642301699161E-2"/>
          <c:w val="0.86002829655585611"/>
          <c:h val="0.700262710307985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Досліджувана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Високий</c:v>
                </c:pt>
                <c:pt idx="1">
                  <c:v>Вище за середній</c:v>
                </c:pt>
                <c:pt idx="2">
                  <c:v>Середній</c:v>
                </c:pt>
                <c:pt idx="3">
                  <c:v>Нижче за середній</c:v>
                </c:pt>
                <c:pt idx="4">
                  <c:v>Низький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33.300000000000004</c:v>
                </c:pt>
                <c:pt idx="1">
                  <c:v>66.7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 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Високий</c:v>
                </c:pt>
                <c:pt idx="1">
                  <c:v>Вище за середній</c:v>
                </c:pt>
                <c:pt idx="2">
                  <c:v>Середній</c:v>
                </c:pt>
                <c:pt idx="3">
                  <c:v>Нижче за середній</c:v>
                </c:pt>
                <c:pt idx="4">
                  <c:v>Низький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16.7</c:v>
                </c:pt>
                <c:pt idx="1">
                  <c:v>12.5</c:v>
                </c:pt>
                <c:pt idx="2">
                  <c:v>54.2</c:v>
                </c:pt>
                <c:pt idx="3">
                  <c:v>16.7</c:v>
                </c:pt>
                <c:pt idx="4">
                  <c:v>4.8</c:v>
                </c:pt>
              </c:numCache>
            </c:numRef>
          </c:val>
        </c:ser>
        <c:dLbls>
          <c:showVal val="1"/>
        </c:dLbls>
        <c:axId val="98260096"/>
        <c:axId val="99885056"/>
      </c:barChart>
      <c:catAx>
        <c:axId val="98260096"/>
        <c:scaling>
          <c:orientation val="minMax"/>
        </c:scaling>
        <c:axPos val="b"/>
        <c:numFmt formatCode="General" sourceLinked="1"/>
        <c:tickLblPos val="nextTo"/>
        <c:crossAx val="99885056"/>
        <c:crosses val="autoZero"/>
        <c:auto val="1"/>
        <c:lblAlgn val="ctr"/>
        <c:lblOffset val="100"/>
      </c:catAx>
      <c:valAx>
        <c:axId val="9988505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Відсотки</a:t>
                </a:r>
              </a:p>
            </c:rich>
          </c:tx>
          <c:layout>
            <c:manualLayout>
              <c:xMode val="edge"/>
              <c:yMode val="edge"/>
              <c:x val="1.2913955381996097E-2"/>
              <c:y val="0.19859123296410724"/>
            </c:manualLayout>
          </c:layout>
        </c:title>
        <c:numFmt formatCode="General" sourceLinked="1"/>
        <c:tickLblPos val="nextTo"/>
        <c:crossAx val="98260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799689660036754"/>
          <c:y val="3.8897333823754458E-3"/>
          <c:w val="0.44171032480903977"/>
          <c:h val="0.16365210397087468"/>
        </c:manualLayout>
      </c:layout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>
        <c:manualLayout>
          <c:layoutTarget val="inner"/>
          <c:xMode val="edge"/>
          <c:yMode val="edge"/>
          <c:x val="0.11029132430805502"/>
          <c:y val="7.0673642301699161E-2"/>
          <c:w val="0.86002829655585611"/>
          <c:h val="0.700262710307985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Досліджувана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Високий</c:v>
                </c:pt>
                <c:pt idx="1">
                  <c:v>Вище за середній</c:v>
                </c:pt>
                <c:pt idx="2">
                  <c:v>Середній</c:v>
                </c:pt>
                <c:pt idx="3">
                  <c:v>Нижче за середній</c:v>
                </c:pt>
                <c:pt idx="4">
                  <c:v>Низький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 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Високий</c:v>
                </c:pt>
                <c:pt idx="1">
                  <c:v>Вище за середній</c:v>
                </c:pt>
                <c:pt idx="2">
                  <c:v>Середній</c:v>
                </c:pt>
                <c:pt idx="3">
                  <c:v>Нижче за середній</c:v>
                </c:pt>
                <c:pt idx="4">
                  <c:v>Низький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12.5</c:v>
                </c:pt>
                <c:pt idx="1">
                  <c:v>37.5</c:v>
                </c:pt>
                <c:pt idx="2">
                  <c:v>41.6</c:v>
                </c:pt>
                <c:pt idx="3">
                  <c:v>4.2</c:v>
                </c:pt>
                <c:pt idx="4">
                  <c:v>4.2</c:v>
                </c:pt>
              </c:numCache>
            </c:numRef>
          </c:val>
        </c:ser>
        <c:dLbls>
          <c:showVal val="1"/>
        </c:dLbls>
        <c:axId val="106741760"/>
        <c:axId val="106743680"/>
      </c:barChart>
      <c:catAx>
        <c:axId val="106741760"/>
        <c:scaling>
          <c:orientation val="minMax"/>
        </c:scaling>
        <c:axPos val="b"/>
        <c:numFmt formatCode="General" sourceLinked="1"/>
        <c:tickLblPos val="nextTo"/>
        <c:crossAx val="106743680"/>
        <c:crosses val="autoZero"/>
        <c:auto val="1"/>
        <c:lblAlgn val="ctr"/>
        <c:lblOffset val="100"/>
      </c:catAx>
      <c:valAx>
        <c:axId val="10674368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Відсотки</a:t>
                </a:r>
              </a:p>
            </c:rich>
          </c:tx>
          <c:layout>
            <c:manualLayout>
              <c:xMode val="edge"/>
              <c:yMode val="edge"/>
              <c:x val="1.2913955381996097E-2"/>
              <c:y val="0.19859123296410724"/>
            </c:manualLayout>
          </c:layout>
        </c:title>
        <c:numFmt formatCode="General" sourceLinked="1"/>
        <c:tickLblPos val="nextTo"/>
        <c:crossAx val="106741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799689660036754"/>
          <c:y val="3.8897333823754458E-3"/>
          <c:w val="0.44171032480903977"/>
          <c:h val="0.16365210397087468"/>
        </c:manualLayout>
      </c:layout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2021-11-30T11:19:00Z</dcterms:created>
  <dcterms:modified xsi:type="dcterms:W3CDTF">2021-12-11T14:27:00Z</dcterms:modified>
</cp:coreProperties>
</file>