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BE" w:rsidRDefault="005740BF" w:rsidP="005740BF">
      <w:pPr>
        <w:spacing w:line="240" w:lineRule="auto"/>
        <w:jc w:val="right"/>
      </w:pPr>
      <w:r>
        <w:t xml:space="preserve">В. І. Марчик, </w:t>
      </w:r>
      <w:proofErr w:type="spellStart"/>
      <w:r>
        <w:t>к.б.н</w:t>
      </w:r>
      <w:proofErr w:type="spellEnd"/>
      <w:r>
        <w:t>., доцент,</w:t>
      </w:r>
    </w:p>
    <w:p w:rsidR="005740BF" w:rsidRDefault="005740BF" w:rsidP="005740BF">
      <w:pPr>
        <w:spacing w:line="240" w:lineRule="auto"/>
        <w:jc w:val="right"/>
      </w:pPr>
      <w:r>
        <w:t>С. В. Переверзєва, викладач</w:t>
      </w:r>
    </w:p>
    <w:p w:rsidR="005740BF" w:rsidRDefault="005740BF" w:rsidP="005740BF">
      <w:pPr>
        <w:spacing w:line="240" w:lineRule="auto"/>
        <w:jc w:val="right"/>
        <w:rPr>
          <w:i/>
        </w:rPr>
      </w:pPr>
      <w:r>
        <w:rPr>
          <w:i/>
        </w:rPr>
        <w:t>Криворізький державний педагогічний університет</w:t>
      </w:r>
    </w:p>
    <w:p w:rsidR="005740BF" w:rsidRDefault="005740BF" w:rsidP="005740BF">
      <w:pPr>
        <w:spacing w:line="240" w:lineRule="auto"/>
        <w:jc w:val="right"/>
      </w:pPr>
      <w:r>
        <w:t>Т. А. </w:t>
      </w:r>
      <w:proofErr w:type="spellStart"/>
      <w:r>
        <w:t>Дроннікова</w:t>
      </w:r>
      <w:proofErr w:type="spellEnd"/>
    </w:p>
    <w:p w:rsidR="005740BF" w:rsidRPr="005740BF" w:rsidRDefault="005740BF" w:rsidP="005740BF">
      <w:pPr>
        <w:spacing w:line="240" w:lineRule="auto"/>
        <w:jc w:val="right"/>
        <w:rPr>
          <w:i/>
        </w:rPr>
      </w:pPr>
      <w:r w:rsidRPr="005740BF">
        <w:rPr>
          <w:rFonts w:eastAsia="Calibri"/>
          <w:i/>
          <w:color w:val="000000"/>
        </w:rPr>
        <w:t>Криворізький економічний інститут</w:t>
      </w:r>
      <w:r w:rsidRPr="005740BF">
        <w:rPr>
          <w:i/>
          <w:color w:val="000000"/>
        </w:rPr>
        <w:t xml:space="preserve"> ДВНЗ «Київський </w:t>
      </w:r>
      <w:r>
        <w:rPr>
          <w:i/>
          <w:color w:val="000000"/>
        </w:rPr>
        <w:t xml:space="preserve">                            </w:t>
      </w:r>
      <w:r w:rsidRPr="005740BF">
        <w:rPr>
          <w:i/>
          <w:color w:val="000000"/>
        </w:rPr>
        <w:t xml:space="preserve"> національний економічний університет ім. Вадима </w:t>
      </w:r>
      <w:r>
        <w:rPr>
          <w:i/>
          <w:color w:val="000000"/>
        </w:rPr>
        <w:t>Г</w:t>
      </w:r>
      <w:r w:rsidRPr="005740BF">
        <w:rPr>
          <w:i/>
          <w:color w:val="000000"/>
        </w:rPr>
        <w:t>етьмана»</w:t>
      </w:r>
    </w:p>
    <w:p w:rsidR="005740BF" w:rsidRDefault="005740BF" w:rsidP="005740BF">
      <w:pPr>
        <w:spacing w:line="240" w:lineRule="auto"/>
        <w:jc w:val="center"/>
        <w:rPr>
          <w:b/>
        </w:rPr>
      </w:pPr>
    </w:p>
    <w:p w:rsidR="00356D11" w:rsidRPr="005740BF" w:rsidRDefault="005740BF" w:rsidP="005740BF">
      <w:pPr>
        <w:spacing w:line="240" w:lineRule="auto"/>
        <w:ind w:firstLine="0"/>
        <w:jc w:val="center"/>
        <w:rPr>
          <w:b/>
        </w:rPr>
      </w:pPr>
      <w:r>
        <w:rPr>
          <w:b/>
        </w:rPr>
        <w:t>ФОРМУВАННЯ СВІТОГЛЯДУ ЗДОРОВОГО СПОСОБУ ЖИТТЯ МАЙБУТНІХ ПЕДАГОГІВ ЗА РІЗНИМИ СПЕЦІАЛЬНОСТЯМИ</w:t>
      </w:r>
    </w:p>
    <w:p w:rsidR="00356D11" w:rsidRDefault="00356D11" w:rsidP="005740BF">
      <w:pPr>
        <w:spacing w:line="240" w:lineRule="auto"/>
        <w:ind w:firstLine="0"/>
        <w:jc w:val="center"/>
      </w:pPr>
    </w:p>
    <w:p w:rsidR="00836939" w:rsidRDefault="003A7993" w:rsidP="00497810">
      <w:pPr>
        <w:spacing w:line="240" w:lineRule="auto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Світогляд з</w:t>
      </w:r>
      <w:r w:rsidR="00497810" w:rsidRPr="003A7993">
        <w:rPr>
          <w:color w:val="000000" w:themeColor="text1"/>
          <w:shd w:val="clear" w:color="auto" w:fill="FFFFFF"/>
        </w:rPr>
        <w:t>доров</w:t>
      </w:r>
      <w:r>
        <w:rPr>
          <w:color w:val="000000" w:themeColor="text1"/>
          <w:shd w:val="clear" w:color="auto" w:fill="FFFFFF"/>
        </w:rPr>
        <w:t>ого спосо</w:t>
      </w:r>
      <w:r w:rsidR="00497810" w:rsidRPr="003A7993">
        <w:rPr>
          <w:color w:val="000000" w:themeColor="text1"/>
          <w:shd w:val="clear" w:color="auto" w:fill="FFFFFF"/>
        </w:rPr>
        <w:t>б</w:t>
      </w:r>
      <w:r>
        <w:rPr>
          <w:color w:val="000000" w:themeColor="text1"/>
          <w:shd w:val="clear" w:color="auto" w:fill="FFFFFF"/>
        </w:rPr>
        <w:t>у</w:t>
      </w:r>
      <w:r w:rsidR="00497810" w:rsidRPr="003A7993">
        <w:rPr>
          <w:color w:val="000000" w:themeColor="text1"/>
          <w:shd w:val="clear" w:color="auto" w:fill="FFFFFF"/>
        </w:rPr>
        <w:t xml:space="preserve"> життя </w:t>
      </w:r>
      <w:r>
        <w:rPr>
          <w:color w:val="000000" w:themeColor="text1"/>
          <w:shd w:val="clear" w:color="auto" w:fill="FFFFFF"/>
        </w:rPr>
        <w:t>як</w:t>
      </w:r>
      <w:r w:rsidR="00497810" w:rsidRPr="003A7993">
        <w:rPr>
          <w:color w:val="000000" w:themeColor="text1"/>
          <w:shd w:val="clear" w:color="auto" w:fill="FFFFFF"/>
        </w:rPr>
        <w:t xml:space="preserve"> комплекс оздоровчих заходів, </w:t>
      </w:r>
      <w:r>
        <w:rPr>
          <w:color w:val="000000" w:themeColor="text1"/>
          <w:shd w:val="clear" w:color="auto" w:fill="FFFFFF"/>
        </w:rPr>
        <w:t>спрямованих на</w:t>
      </w:r>
      <w:r w:rsidR="00497810" w:rsidRPr="003A7993">
        <w:rPr>
          <w:color w:val="000000" w:themeColor="text1"/>
          <w:shd w:val="clear" w:color="auto" w:fill="FFFFFF"/>
        </w:rPr>
        <w:t xml:space="preserve"> розвиток</w:t>
      </w:r>
      <w:r>
        <w:rPr>
          <w:color w:val="000000" w:themeColor="text1"/>
          <w:shd w:val="clear" w:color="auto" w:fill="FFFFFF"/>
        </w:rPr>
        <w:t xml:space="preserve"> і</w:t>
      </w:r>
      <w:r w:rsidR="00497810" w:rsidRPr="003A7993">
        <w:rPr>
          <w:color w:val="000000" w:themeColor="text1"/>
          <w:shd w:val="clear" w:color="auto" w:fill="FFFFFF"/>
        </w:rPr>
        <w:t xml:space="preserve"> зміцнення</w:t>
      </w:r>
      <w:r>
        <w:rPr>
          <w:color w:val="000000" w:themeColor="text1"/>
          <w:shd w:val="clear" w:color="auto" w:fill="FFFFFF"/>
        </w:rPr>
        <w:t xml:space="preserve"> здоров’я проявляється у  відповідних формах і способах щоденного життя</w:t>
      </w:r>
      <w:r w:rsidR="00497810" w:rsidRPr="003A7993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</w:t>
      </w:r>
      <w:r w:rsidR="00836939">
        <w:rPr>
          <w:color w:val="000000" w:themeColor="text1"/>
          <w:shd w:val="clear" w:color="auto" w:fill="FFFFFF"/>
        </w:rPr>
        <w:t>Використання</w:t>
      </w:r>
      <w:r>
        <w:rPr>
          <w:color w:val="000000" w:themeColor="text1"/>
          <w:shd w:val="clear" w:color="auto" w:fill="FFFFFF"/>
        </w:rPr>
        <w:t xml:space="preserve"> вагомих факторів впливу </w:t>
      </w:r>
      <w:r w:rsidR="00836939">
        <w:rPr>
          <w:color w:val="000000" w:themeColor="text1"/>
        </w:rPr>
        <w:t>підвищить ефективність</w:t>
      </w:r>
      <w:r w:rsidR="00836939" w:rsidRPr="00836939">
        <w:rPr>
          <w:color w:val="000000" w:themeColor="text1"/>
          <w:shd w:val="clear" w:color="auto" w:fill="FFFFFF"/>
        </w:rPr>
        <w:t xml:space="preserve"> </w:t>
      </w:r>
      <w:r w:rsidR="00836939">
        <w:rPr>
          <w:color w:val="000000" w:themeColor="text1"/>
          <w:shd w:val="clear" w:color="auto" w:fill="FFFFFF"/>
        </w:rPr>
        <w:t>формування світогляду ЗСЖ</w:t>
      </w:r>
      <w:r w:rsidR="00836939" w:rsidRPr="003A7993">
        <w:rPr>
          <w:color w:val="000000" w:themeColor="text1"/>
          <w:shd w:val="clear" w:color="auto" w:fill="FFFFFF"/>
        </w:rPr>
        <w:t> </w:t>
      </w:r>
      <w:r w:rsidR="00836939">
        <w:rPr>
          <w:color w:val="000000" w:themeColor="text1"/>
          <w:shd w:val="clear" w:color="auto" w:fill="FFFFFF"/>
        </w:rPr>
        <w:t>підростаючого покоління.</w:t>
      </w:r>
    </w:p>
    <w:p w:rsidR="00497810" w:rsidRPr="00E323EB" w:rsidRDefault="00497810" w:rsidP="0049781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Зазначається, що в</w:t>
      </w:r>
      <w:r w:rsidRPr="005A4422">
        <w:rPr>
          <w:color w:val="000000" w:themeColor="text1"/>
        </w:rPr>
        <w:t xml:space="preserve"> педагогічній науці накопичений багатий досвід теоретичних досліджень з проблеми формування здорового способу життя учнів на різних ступенях освіти, побудованих на різноманітних наукових підходах</w:t>
      </w:r>
      <w:r>
        <w:rPr>
          <w:color w:val="000000" w:themeColor="text1"/>
        </w:rPr>
        <w:t xml:space="preserve"> [2, с. </w:t>
      </w:r>
      <w:r w:rsidRPr="005A4422">
        <w:rPr>
          <w:color w:val="000000" w:themeColor="text1"/>
        </w:rPr>
        <w:t>89</w:t>
      </w:r>
      <w:r w:rsidRPr="00497810">
        <w:rPr>
          <w:color w:val="000000" w:themeColor="text1"/>
        </w:rPr>
        <w:t>]</w:t>
      </w:r>
      <w:r w:rsidR="00836939">
        <w:rPr>
          <w:color w:val="000000" w:themeColor="text1"/>
        </w:rPr>
        <w:t xml:space="preserve">. Представлені також </w:t>
      </w:r>
      <w:r w:rsidR="003A7993">
        <w:rPr>
          <w:color w:val="000000" w:themeColor="text1"/>
        </w:rPr>
        <w:t>практичн</w:t>
      </w:r>
      <w:r w:rsidR="00836939">
        <w:rPr>
          <w:color w:val="000000" w:themeColor="text1"/>
        </w:rPr>
        <w:t>і</w:t>
      </w:r>
      <w:r w:rsidR="003A7993">
        <w:rPr>
          <w:color w:val="000000" w:themeColor="text1"/>
        </w:rPr>
        <w:t xml:space="preserve"> і дійов</w:t>
      </w:r>
      <w:r w:rsidR="00836939">
        <w:rPr>
          <w:color w:val="000000" w:themeColor="text1"/>
        </w:rPr>
        <w:t>і</w:t>
      </w:r>
      <w:r w:rsidR="003A7993">
        <w:rPr>
          <w:color w:val="000000" w:themeColor="text1"/>
        </w:rPr>
        <w:t xml:space="preserve"> рекомендаці</w:t>
      </w:r>
      <w:r w:rsidR="00836939">
        <w:rPr>
          <w:color w:val="000000" w:themeColor="text1"/>
        </w:rPr>
        <w:t>ї.</w:t>
      </w:r>
      <w:r w:rsidR="003A7993">
        <w:rPr>
          <w:color w:val="000000" w:themeColor="text1"/>
        </w:rPr>
        <w:t xml:space="preserve"> </w:t>
      </w:r>
      <w:r w:rsidR="00836939">
        <w:rPr>
          <w:color w:val="000000" w:themeColor="text1"/>
        </w:rPr>
        <w:t>П</w:t>
      </w:r>
      <w:r w:rsidR="003A7993">
        <w:rPr>
          <w:color w:val="000000" w:themeColor="text1"/>
        </w:rPr>
        <w:t xml:space="preserve">ропонується, </w:t>
      </w:r>
      <w:r w:rsidR="00836939">
        <w:rPr>
          <w:color w:val="000000" w:themeColor="text1"/>
        </w:rPr>
        <w:t xml:space="preserve">наприклад, </w:t>
      </w:r>
      <w:r w:rsidRPr="00E323EB">
        <w:rPr>
          <w:color w:val="000000" w:themeColor="text1"/>
        </w:rPr>
        <w:t>запровад</w:t>
      </w:r>
      <w:r w:rsidR="00836939">
        <w:rPr>
          <w:color w:val="000000" w:themeColor="text1"/>
        </w:rPr>
        <w:t>ження</w:t>
      </w:r>
      <w:r w:rsidRPr="00E323EB">
        <w:rPr>
          <w:color w:val="000000" w:themeColor="text1"/>
        </w:rPr>
        <w:t xml:space="preserve"> в навчальних закладах системну роботу щодо формування ЗСЖ молоді, метою якої має бути усвідомлення індивідуально</w:t>
      </w:r>
      <w:r w:rsidR="00836939">
        <w:rPr>
          <w:color w:val="000000" w:themeColor="text1"/>
        </w:rPr>
        <w:t>ї та суспільної цінності здоров’</w:t>
      </w:r>
      <w:r w:rsidRPr="00E323EB">
        <w:rPr>
          <w:color w:val="000000" w:themeColor="text1"/>
        </w:rPr>
        <w:t xml:space="preserve">я, виховання власної відповідальності за його зміцнення, збереження і передачу в спадок. Головними напрямками цієї роботи </w:t>
      </w:r>
      <w:r w:rsidR="00836939">
        <w:rPr>
          <w:color w:val="000000" w:themeColor="text1"/>
        </w:rPr>
        <w:t>може бути</w:t>
      </w:r>
      <w:r w:rsidRPr="00E323EB">
        <w:rPr>
          <w:color w:val="000000" w:themeColor="text1"/>
        </w:rPr>
        <w:t xml:space="preserve"> навчання основам теорії ЗСЖ; виховання відповіда</w:t>
      </w:r>
      <w:r w:rsidR="00836939">
        <w:rPr>
          <w:color w:val="000000" w:themeColor="text1"/>
        </w:rPr>
        <w:t>льності молоді за власне здоров’</w:t>
      </w:r>
      <w:r w:rsidRPr="00E323EB">
        <w:rPr>
          <w:color w:val="000000" w:themeColor="text1"/>
        </w:rPr>
        <w:t>я; виховання критичного ставлення до реклами харчових продуктів; формування усвідомлення необхідності достатніх фізичних навантажень, їх ролі у зміцненні здоров</w:t>
      </w:r>
      <w:r w:rsidR="00836939">
        <w:rPr>
          <w:color w:val="000000" w:themeColor="text1"/>
        </w:rPr>
        <w:t>’</w:t>
      </w:r>
      <w:r w:rsidRPr="00E323EB">
        <w:rPr>
          <w:color w:val="000000" w:themeColor="text1"/>
        </w:rPr>
        <w:t>я [</w:t>
      </w:r>
      <w:r>
        <w:rPr>
          <w:color w:val="000000" w:themeColor="text1"/>
        </w:rPr>
        <w:t xml:space="preserve">1, </w:t>
      </w:r>
      <w:r w:rsidRPr="00E323EB">
        <w:rPr>
          <w:color w:val="000000" w:themeColor="text1"/>
        </w:rPr>
        <w:t>с.72]</w:t>
      </w:r>
      <w:r>
        <w:rPr>
          <w:color w:val="000000" w:themeColor="text1"/>
        </w:rPr>
        <w:t>.</w:t>
      </w:r>
    </w:p>
    <w:p w:rsidR="00497810" w:rsidRDefault="00497810" w:rsidP="00497810">
      <w:pPr>
        <w:spacing w:line="240" w:lineRule="auto"/>
      </w:pPr>
      <w:r>
        <w:t xml:space="preserve">Метою роботи стало виявлення найбільш вагомих факторів, що впливають на формування світогляду здорового способу життя у майбутніх педагогів за різними спеціальностями. </w:t>
      </w:r>
    </w:p>
    <w:p w:rsidR="009D6937" w:rsidRDefault="009D6937" w:rsidP="004A657F">
      <w:pPr>
        <w:spacing w:line="240" w:lineRule="auto"/>
      </w:pPr>
      <w:r>
        <w:t xml:space="preserve">В дослідженні, що було проведено у жовтні 2018 року прийняли </w:t>
      </w:r>
      <w:r w:rsidR="00FC46A6">
        <w:t xml:space="preserve">участь </w:t>
      </w:r>
      <w:r>
        <w:t>студенти 2 курсу навчання</w:t>
      </w:r>
      <w:r w:rsidR="001E6A3C">
        <w:t xml:space="preserve"> Криворізького державного педагогічного університету за спеціальностями Середня освіта (фізична культура) 15 осіб та Середня освіта (фізика, математика) 24 особи. В роботі використано метод анонімного анкетування,</w:t>
      </w:r>
      <w:r w:rsidR="00FC46A6">
        <w:t xml:space="preserve"> </w:t>
      </w:r>
      <w:r w:rsidR="001E6A3C">
        <w:t xml:space="preserve">за яким необхідно було </w:t>
      </w:r>
      <w:r w:rsidR="00FC46A6">
        <w:t xml:space="preserve">визначити ступінь впливу (не впливають, незначний вплив, впливають) </w:t>
      </w:r>
      <w:r w:rsidR="001E6A3C">
        <w:t>фактор</w:t>
      </w:r>
      <w:r w:rsidR="00FC46A6">
        <w:t xml:space="preserve">ів, що були представлені. </w:t>
      </w:r>
      <w:r w:rsidR="002A29C0">
        <w:t>На основі отриманих даних</w:t>
      </w:r>
      <w:r w:rsidR="00A2049B">
        <w:t xml:space="preserve"> с</w:t>
      </w:r>
      <w:r w:rsidR="00FC46A6">
        <w:t xml:space="preserve">формовано </w:t>
      </w:r>
      <w:r w:rsidR="00A2049B">
        <w:t>дві</w:t>
      </w:r>
      <w:r w:rsidR="00FC46A6">
        <w:t xml:space="preserve"> вибірки (фізична культура та фізика, математика), </w:t>
      </w:r>
      <w:r w:rsidR="002A29C0">
        <w:t>в</w:t>
      </w:r>
      <w:r w:rsidR="00FC46A6">
        <w:t xml:space="preserve"> яких визначали відсотки </w:t>
      </w:r>
      <w:r w:rsidR="00A2049B">
        <w:t>ступен</w:t>
      </w:r>
      <w:r w:rsidR="00304406">
        <w:t>ів</w:t>
      </w:r>
      <w:r w:rsidR="00A2049B">
        <w:t xml:space="preserve"> впливу за кожним фактором. </w:t>
      </w:r>
    </w:p>
    <w:p w:rsidR="00FC46A6" w:rsidRDefault="00A2049B" w:rsidP="004A657F">
      <w:pPr>
        <w:spacing w:line="240" w:lineRule="auto"/>
      </w:pPr>
      <w:r>
        <w:t xml:space="preserve">Аналіз отриманих даних показав, що найбільш вагомими факторами студенти обох спеціальностей зазначають «заняття в спортивних секціях» </w:t>
      </w:r>
      <w:r w:rsidR="006C74F6">
        <w:t xml:space="preserve">- </w:t>
      </w:r>
      <w:r>
        <w:t>80 і 83% (</w:t>
      </w:r>
      <w:proofErr w:type="spellStart"/>
      <w:r>
        <w:t>фіз.культ</w:t>
      </w:r>
      <w:proofErr w:type="spellEnd"/>
      <w:r>
        <w:t xml:space="preserve">./фіз., </w:t>
      </w:r>
      <w:proofErr w:type="spellStart"/>
      <w:r>
        <w:t>матем</w:t>
      </w:r>
      <w:proofErr w:type="spellEnd"/>
      <w:r>
        <w:t>)</w:t>
      </w:r>
      <w:r w:rsidR="006C74F6">
        <w:t>; спосіб життя сім’ї – 72 і 83% (</w:t>
      </w:r>
      <w:proofErr w:type="spellStart"/>
      <w:r w:rsidR="006C74F6">
        <w:t>фіз.культ</w:t>
      </w:r>
      <w:proofErr w:type="spellEnd"/>
      <w:r w:rsidR="006C74F6">
        <w:t xml:space="preserve">./фіз., </w:t>
      </w:r>
      <w:proofErr w:type="spellStart"/>
      <w:r w:rsidR="006C74F6">
        <w:t>матем</w:t>
      </w:r>
      <w:proofErr w:type="spellEnd"/>
      <w:r w:rsidR="006C74F6">
        <w:t>) та роль батьків 60 і 59% (</w:t>
      </w:r>
      <w:proofErr w:type="spellStart"/>
      <w:r w:rsidR="006C74F6">
        <w:t>фіз.культ</w:t>
      </w:r>
      <w:proofErr w:type="spellEnd"/>
      <w:r w:rsidR="006C74F6">
        <w:t xml:space="preserve">./фіз., </w:t>
      </w:r>
      <w:proofErr w:type="spellStart"/>
      <w:r w:rsidR="006C74F6">
        <w:t>матем</w:t>
      </w:r>
      <w:proofErr w:type="spellEnd"/>
      <w:r w:rsidR="006C74F6">
        <w:t>) (табл.1).</w:t>
      </w:r>
      <w:r w:rsidR="00304406">
        <w:t xml:space="preserve"> Меншим за вибором факторів, що впливають на формування світогляду ЗСЖ</w:t>
      </w:r>
      <w:r w:rsidR="00304406" w:rsidRPr="00304406">
        <w:t xml:space="preserve"> </w:t>
      </w:r>
      <w:r w:rsidR="00304406">
        <w:t>студенти обох спеціальностей визначили «х</w:t>
      </w:r>
      <w:r w:rsidR="00304406" w:rsidRPr="00BA1DE3">
        <w:t>вороби рідних людей</w:t>
      </w:r>
      <w:r w:rsidR="00304406">
        <w:t>»</w:t>
      </w:r>
      <w:r w:rsidR="00304406" w:rsidRPr="00304406">
        <w:t xml:space="preserve"> </w:t>
      </w:r>
      <w:r w:rsidR="00304406">
        <w:t>по 47% в обох вибірках та «в</w:t>
      </w:r>
      <w:r w:rsidR="00304406" w:rsidRPr="00BA1DE3">
        <w:t>ласне переживання хвороб</w:t>
      </w:r>
      <w:r w:rsidR="00304406">
        <w:t xml:space="preserve">» </w:t>
      </w:r>
      <w:r w:rsidR="00C8622A">
        <w:t>47 і 51% (</w:t>
      </w:r>
      <w:proofErr w:type="spellStart"/>
      <w:r w:rsidR="00C8622A">
        <w:t>фіз.культ</w:t>
      </w:r>
      <w:proofErr w:type="spellEnd"/>
      <w:r w:rsidR="00C8622A">
        <w:t xml:space="preserve">./фіз., </w:t>
      </w:r>
      <w:proofErr w:type="spellStart"/>
      <w:r w:rsidR="00C8622A">
        <w:t>матем</w:t>
      </w:r>
      <w:proofErr w:type="spellEnd"/>
      <w:r w:rsidR="00C8622A">
        <w:t>). Несподіваним</w:t>
      </w:r>
      <w:r w:rsidR="008E4F52">
        <w:t>и</w:t>
      </w:r>
      <w:r w:rsidR="00C8622A">
        <w:t xml:space="preserve"> стали показники вибору фактор</w:t>
      </w:r>
      <w:r w:rsidR="00A525E0">
        <w:t>у</w:t>
      </w:r>
      <w:r w:rsidR="00C8622A">
        <w:t xml:space="preserve"> «к</w:t>
      </w:r>
      <w:r w:rsidR="00C8622A" w:rsidRPr="00BA1DE3">
        <w:t>ниги, ЗМІ, Інтернет</w:t>
      </w:r>
      <w:r w:rsidR="00C8622A">
        <w:t xml:space="preserve">», за яким більше </w:t>
      </w:r>
      <w:r w:rsidR="00C8622A">
        <w:lastRenderedPageBreak/>
        <w:t>половини респондентів обох спеціальностей визначили ступінь їх пливу як «незначний».</w:t>
      </w:r>
    </w:p>
    <w:p w:rsidR="009D6937" w:rsidRDefault="009D6937" w:rsidP="004A657F">
      <w:pPr>
        <w:spacing w:line="240" w:lineRule="auto"/>
      </w:pPr>
    </w:p>
    <w:p w:rsidR="00356D11" w:rsidRDefault="004A657F" w:rsidP="004A657F">
      <w:pPr>
        <w:spacing w:line="240" w:lineRule="auto"/>
        <w:jc w:val="right"/>
        <w:rPr>
          <w:i/>
        </w:rPr>
      </w:pPr>
      <w:r>
        <w:rPr>
          <w:i/>
        </w:rPr>
        <w:t>Таблиця 1.</w:t>
      </w:r>
    </w:p>
    <w:p w:rsidR="004A657F" w:rsidRPr="004A657F" w:rsidRDefault="00682143" w:rsidP="00BA1DE3">
      <w:pPr>
        <w:spacing w:line="240" w:lineRule="auto"/>
        <w:ind w:firstLine="0"/>
        <w:jc w:val="center"/>
      </w:pPr>
      <w:r>
        <w:t xml:space="preserve">ПОКАЗНИКИ ВИБОБУ </w:t>
      </w:r>
      <w:r w:rsidR="00BA1DE3">
        <w:t>ВПЛИВ</w:t>
      </w:r>
      <w:r w:rsidR="00304406">
        <w:t>У</w:t>
      </w:r>
      <w:r w:rsidR="00BA1DE3">
        <w:t xml:space="preserve"> ФАКТОРІВ НА ФОРМУВАННЯ СВІТОГЛЯДУ ЗСЖ</w:t>
      </w:r>
      <w:r>
        <w:t xml:space="preserve"> (у %)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828"/>
        <w:gridCol w:w="986"/>
        <w:gridCol w:w="986"/>
        <w:gridCol w:w="987"/>
        <w:gridCol w:w="986"/>
        <w:gridCol w:w="874"/>
        <w:gridCol w:w="992"/>
      </w:tblGrid>
      <w:tr w:rsidR="00BA1DE3" w:rsidRPr="00BA1DE3" w:rsidTr="00005576"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BA1DE3" w:rsidRPr="00BA1DE3" w:rsidRDefault="00BA1DE3" w:rsidP="004A657F">
            <w:pPr>
              <w:ind w:firstLine="0"/>
              <w:jc w:val="center"/>
            </w:pPr>
            <w:r w:rsidRPr="00BA1DE3">
              <w:t>Ступінь впливу</w:t>
            </w:r>
          </w:p>
        </w:tc>
        <w:tc>
          <w:tcPr>
            <w:tcW w:w="1972" w:type="dxa"/>
            <w:gridSpan w:val="2"/>
            <w:shd w:val="clear" w:color="auto" w:fill="FFFFFF" w:themeFill="background1"/>
          </w:tcPr>
          <w:p w:rsidR="00BA1DE3" w:rsidRPr="00BA1DE3" w:rsidRDefault="00BA1DE3" w:rsidP="004A657F">
            <w:pPr>
              <w:ind w:firstLine="0"/>
              <w:jc w:val="center"/>
            </w:pPr>
            <w:r w:rsidRPr="00BA1DE3">
              <w:t>Не впливають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BA1DE3" w:rsidRPr="00BA1DE3" w:rsidRDefault="00BA1DE3" w:rsidP="004A657F">
            <w:pPr>
              <w:ind w:firstLine="0"/>
              <w:jc w:val="center"/>
            </w:pPr>
            <w:r w:rsidRPr="00BA1DE3">
              <w:t>Незначний вплив</w:t>
            </w:r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="00BA1DE3" w:rsidRPr="00BA1DE3" w:rsidRDefault="00BA1DE3" w:rsidP="004A657F">
            <w:pPr>
              <w:ind w:firstLine="0"/>
              <w:jc w:val="center"/>
            </w:pPr>
            <w:r w:rsidRPr="00BA1DE3">
              <w:t>Впливають</w:t>
            </w:r>
          </w:p>
        </w:tc>
      </w:tr>
      <w:tr w:rsidR="00BA1DE3" w:rsidTr="000E7553">
        <w:trPr>
          <w:trHeight w:val="619"/>
        </w:trPr>
        <w:tc>
          <w:tcPr>
            <w:tcW w:w="3828" w:type="dxa"/>
            <w:tcBorders>
              <w:tl2br w:val="single" w:sz="4" w:space="0" w:color="000000" w:themeColor="text1"/>
            </w:tcBorders>
          </w:tcPr>
          <w:p w:rsidR="00BA1DE3" w:rsidRPr="00BA1DE3" w:rsidRDefault="00BA1DE3" w:rsidP="004A657F">
            <w:pPr>
              <w:ind w:firstLine="0"/>
              <w:jc w:val="left"/>
            </w:pPr>
            <w:r w:rsidRPr="00BA1DE3">
              <w:t xml:space="preserve">         </w:t>
            </w:r>
            <w:r>
              <w:t xml:space="preserve">              </w:t>
            </w:r>
            <w:r w:rsidRPr="00BA1DE3">
              <w:t>Спец</w:t>
            </w:r>
            <w:r>
              <w:t>іальнос</w:t>
            </w:r>
            <w:r w:rsidRPr="00BA1DE3">
              <w:t>ті</w:t>
            </w:r>
          </w:p>
          <w:p w:rsidR="00BA1DE3" w:rsidRPr="00BA1DE3" w:rsidRDefault="00BA1DE3" w:rsidP="004A657F">
            <w:pPr>
              <w:ind w:firstLine="0"/>
              <w:jc w:val="left"/>
            </w:pPr>
            <w:r>
              <w:t xml:space="preserve">        </w:t>
            </w:r>
            <w:r w:rsidRPr="00BA1DE3">
              <w:t>Фактори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Default="00BA1DE3" w:rsidP="004A657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Фізич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A1DE3" w:rsidRPr="00BA1DE3" w:rsidRDefault="00BA1DE3" w:rsidP="004A65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культ.</w:t>
            </w:r>
          </w:p>
        </w:tc>
        <w:tc>
          <w:tcPr>
            <w:tcW w:w="986" w:type="dxa"/>
          </w:tcPr>
          <w:p w:rsidR="00BA1DE3" w:rsidRDefault="00BA1DE3" w:rsidP="004A65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Фізика,</w:t>
            </w:r>
          </w:p>
          <w:p w:rsidR="00BA1DE3" w:rsidRPr="00BA1DE3" w:rsidRDefault="00BA1DE3" w:rsidP="004A657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Default="00BA1DE3" w:rsidP="00A4734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Фізич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A1DE3" w:rsidRPr="00BA1DE3" w:rsidRDefault="00BA1DE3" w:rsidP="00A47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культ.</w:t>
            </w:r>
          </w:p>
        </w:tc>
        <w:tc>
          <w:tcPr>
            <w:tcW w:w="986" w:type="dxa"/>
          </w:tcPr>
          <w:p w:rsidR="00BA1DE3" w:rsidRDefault="00BA1DE3" w:rsidP="00A47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Фізика,</w:t>
            </w:r>
          </w:p>
          <w:p w:rsidR="00BA1DE3" w:rsidRPr="00BA1DE3" w:rsidRDefault="00BA1DE3" w:rsidP="00A4734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0E7553" w:rsidRDefault="000E7553" w:rsidP="00A4734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Фізич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1DE3" w:rsidRPr="00BA1DE3" w:rsidRDefault="00BA1DE3" w:rsidP="00A47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культ.</w:t>
            </w:r>
          </w:p>
        </w:tc>
        <w:tc>
          <w:tcPr>
            <w:tcW w:w="992" w:type="dxa"/>
          </w:tcPr>
          <w:p w:rsidR="00BA1DE3" w:rsidRDefault="00BA1DE3" w:rsidP="00A47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Фізика,</w:t>
            </w:r>
          </w:p>
          <w:p w:rsidR="00BA1DE3" w:rsidRPr="00BA1DE3" w:rsidRDefault="00BA1DE3" w:rsidP="00A4734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BA1DE3" w:rsidP="004A657F">
            <w:pPr>
              <w:ind w:firstLine="0"/>
              <w:jc w:val="left"/>
            </w:pPr>
            <w:r w:rsidRPr="00BA1DE3">
              <w:t>Батьки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20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6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20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26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60</w:t>
            </w:r>
          </w:p>
        </w:tc>
        <w:tc>
          <w:tcPr>
            <w:tcW w:w="992" w:type="dxa"/>
          </w:tcPr>
          <w:p w:rsidR="00BA1DE3" w:rsidRPr="00BA1DE3" w:rsidRDefault="00BA1DE3" w:rsidP="004A657F">
            <w:pPr>
              <w:ind w:firstLine="0"/>
            </w:pPr>
            <w:r w:rsidRPr="00BA1DE3">
              <w:t>59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BA1DE3" w:rsidP="004A657F">
            <w:pPr>
              <w:ind w:firstLine="0"/>
              <w:jc w:val="left"/>
            </w:pPr>
            <w:r w:rsidRPr="00BA1DE3">
              <w:t>Спосіб життя сім’ї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14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8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14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9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72</w:t>
            </w:r>
          </w:p>
        </w:tc>
        <w:tc>
          <w:tcPr>
            <w:tcW w:w="992" w:type="dxa"/>
          </w:tcPr>
          <w:p w:rsidR="00BA1DE3" w:rsidRPr="00BA1DE3" w:rsidRDefault="00BA1DE3" w:rsidP="004A657F">
            <w:pPr>
              <w:ind w:firstLine="0"/>
            </w:pPr>
            <w:r w:rsidRPr="00BA1DE3">
              <w:t>83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BA1DE3" w:rsidP="004A657F">
            <w:pPr>
              <w:ind w:firstLine="0"/>
              <w:jc w:val="left"/>
            </w:pPr>
            <w:r w:rsidRPr="00BA1DE3">
              <w:t>Лекції в навчальному закладі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14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29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40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62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1E6A3C" w:rsidRDefault="00BA1DE3" w:rsidP="004A657F">
            <w:pPr>
              <w:ind w:firstLine="0"/>
              <w:rPr>
                <w:b/>
              </w:rPr>
            </w:pPr>
            <w:r w:rsidRPr="001E6A3C">
              <w:rPr>
                <w:b/>
              </w:rPr>
              <w:t>46</w:t>
            </w:r>
          </w:p>
        </w:tc>
        <w:tc>
          <w:tcPr>
            <w:tcW w:w="992" w:type="dxa"/>
          </w:tcPr>
          <w:p w:rsidR="00BA1DE3" w:rsidRPr="001E6A3C" w:rsidRDefault="00BA1DE3" w:rsidP="004A657F">
            <w:pPr>
              <w:ind w:firstLine="0"/>
              <w:rPr>
                <w:b/>
              </w:rPr>
            </w:pPr>
            <w:r w:rsidRPr="001E6A3C">
              <w:rPr>
                <w:b/>
              </w:rPr>
              <w:t>9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BA1DE3" w:rsidP="004A657F">
            <w:pPr>
              <w:ind w:firstLine="0"/>
              <w:jc w:val="left"/>
            </w:pPr>
            <w:r w:rsidRPr="00BA1DE3">
              <w:t>Заняття в спортивних секціях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14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8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6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9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80</w:t>
            </w:r>
          </w:p>
        </w:tc>
        <w:tc>
          <w:tcPr>
            <w:tcW w:w="992" w:type="dxa"/>
          </w:tcPr>
          <w:p w:rsidR="00BA1DE3" w:rsidRPr="00BA1DE3" w:rsidRDefault="00BA1DE3" w:rsidP="004A657F">
            <w:pPr>
              <w:ind w:firstLine="0"/>
            </w:pPr>
            <w:r w:rsidRPr="00BA1DE3">
              <w:t>83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BA1DE3" w:rsidP="00BA1DE3">
            <w:pPr>
              <w:ind w:firstLine="0"/>
              <w:jc w:val="left"/>
            </w:pPr>
            <w:r w:rsidRPr="00BA1DE3">
              <w:t>Хвороби рідних людей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6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33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47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20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47</w:t>
            </w:r>
          </w:p>
        </w:tc>
        <w:tc>
          <w:tcPr>
            <w:tcW w:w="992" w:type="dxa"/>
          </w:tcPr>
          <w:p w:rsidR="00BA1DE3" w:rsidRPr="00BA1DE3" w:rsidRDefault="00BA1DE3" w:rsidP="004A657F">
            <w:pPr>
              <w:ind w:firstLine="0"/>
            </w:pPr>
            <w:r w:rsidRPr="00BA1DE3">
              <w:t>47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BA1DE3" w:rsidP="00BA1DE3">
            <w:pPr>
              <w:ind w:firstLine="0"/>
              <w:jc w:val="left"/>
            </w:pPr>
            <w:r w:rsidRPr="00BA1DE3">
              <w:t>Власне переживання хвороб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20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29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33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20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47</w:t>
            </w:r>
          </w:p>
        </w:tc>
        <w:tc>
          <w:tcPr>
            <w:tcW w:w="992" w:type="dxa"/>
          </w:tcPr>
          <w:p w:rsidR="00BA1DE3" w:rsidRPr="00BA1DE3" w:rsidRDefault="00BA1DE3" w:rsidP="004A657F">
            <w:pPr>
              <w:ind w:firstLine="0"/>
            </w:pPr>
            <w:r w:rsidRPr="00BA1DE3">
              <w:t>51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C8622A" w:rsidP="004A657F">
            <w:pPr>
              <w:ind w:firstLine="0"/>
              <w:jc w:val="left"/>
            </w:pPr>
            <w:r>
              <w:t>К</w:t>
            </w:r>
            <w:r w:rsidRPr="00BA1DE3">
              <w:t>ниги, ЗМІ, Інтернет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14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25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53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51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33</w:t>
            </w:r>
          </w:p>
        </w:tc>
        <w:tc>
          <w:tcPr>
            <w:tcW w:w="992" w:type="dxa"/>
          </w:tcPr>
          <w:p w:rsidR="00BA1DE3" w:rsidRPr="00BA1DE3" w:rsidRDefault="00BA1DE3" w:rsidP="004A657F">
            <w:pPr>
              <w:ind w:firstLine="0"/>
            </w:pPr>
            <w:r w:rsidRPr="00BA1DE3">
              <w:t>24</w:t>
            </w:r>
          </w:p>
        </w:tc>
      </w:tr>
      <w:tr w:rsidR="00BA1DE3" w:rsidRPr="005740BF" w:rsidTr="000E7553">
        <w:tc>
          <w:tcPr>
            <w:tcW w:w="3828" w:type="dxa"/>
          </w:tcPr>
          <w:p w:rsidR="00BA1DE3" w:rsidRPr="00BA1DE3" w:rsidRDefault="00BA1DE3" w:rsidP="004A657F">
            <w:pPr>
              <w:ind w:firstLine="0"/>
              <w:jc w:val="left"/>
            </w:pPr>
            <w:r w:rsidRPr="00BA1DE3">
              <w:t>Однолітки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14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6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53</w:t>
            </w:r>
          </w:p>
        </w:tc>
        <w:tc>
          <w:tcPr>
            <w:tcW w:w="986" w:type="dxa"/>
          </w:tcPr>
          <w:p w:rsidR="00BA1DE3" w:rsidRPr="00BA1DE3" w:rsidRDefault="00BA1DE3" w:rsidP="004A657F">
            <w:pPr>
              <w:ind w:firstLine="0"/>
            </w:pPr>
            <w:r w:rsidRPr="00BA1DE3">
              <w:t>42</w:t>
            </w:r>
          </w:p>
        </w:tc>
        <w:tc>
          <w:tcPr>
            <w:tcW w:w="874" w:type="dxa"/>
            <w:shd w:val="clear" w:color="auto" w:fill="F2DBDB" w:themeFill="accent2" w:themeFillTint="33"/>
          </w:tcPr>
          <w:p w:rsidR="00BA1DE3" w:rsidRPr="00BA1DE3" w:rsidRDefault="00BA1DE3" w:rsidP="004A657F">
            <w:pPr>
              <w:ind w:firstLine="0"/>
            </w:pPr>
            <w:r w:rsidRPr="00BA1DE3">
              <w:t>33</w:t>
            </w:r>
          </w:p>
        </w:tc>
        <w:tc>
          <w:tcPr>
            <w:tcW w:w="992" w:type="dxa"/>
          </w:tcPr>
          <w:p w:rsidR="00BA1DE3" w:rsidRPr="00BA1DE3" w:rsidRDefault="00BA1DE3" w:rsidP="004A657F">
            <w:pPr>
              <w:ind w:firstLine="0"/>
            </w:pPr>
            <w:r w:rsidRPr="00BA1DE3">
              <w:t>42</w:t>
            </w:r>
          </w:p>
        </w:tc>
      </w:tr>
    </w:tbl>
    <w:p w:rsidR="004D1A78" w:rsidRDefault="004D1A78" w:rsidP="004A657F">
      <w:pPr>
        <w:spacing w:line="240" w:lineRule="auto"/>
      </w:pPr>
    </w:p>
    <w:p w:rsidR="00005576" w:rsidRDefault="00005576" w:rsidP="00005576">
      <w:pPr>
        <w:spacing w:line="240" w:lineRule="auto"/>
      </w:pPr>
      <w:r>
        <w:t>Не зважаючи на те, що в дослідженні приймали участь майбутні педагоги з достатньо різними професійними спрямуваннями, суттєвих розбіжностей у виборі впливу різних факторів на формування світогляду здорового способу життя не виявлено, окрім одного – «л</w:t>
      </w:r>
      <w:r w:rsidRPr="00BA1DE3">
        <w:t>екції в навчальному закладі</w:t>
      </w:r>
      <w:r>
        <w:t>»: 46% (</w:t>
      </w:r>
      <w:proofErr w:type="spellStart"/>
      <w:r>
        <w:t>фіз.культ</w:t>
      </w:r>
      <w:proofErr w:type="spellEnd"/>
      <w:r>
        <w:t xml:space="preserve">.) і 9% (фіз., </w:t>
      </w:r>
      <w:proofErr w:type="spellStart"/>
      <w:r>
        <w:t>матем</w:t>
      </w:r>
      <w:proofErr w:type="spellEnd"/>
      <w:r>
        <w:t>). Поясненням такої різниці вбачаємо у наявності в майбутніх вчителів фізичної культури навчальних дисциплін ц</w:t>
      </w:r>
      <w:r w:rsidRPr="00D221D6">
        <w:t>икл</w:t>
      </w:r>
      <w:r>
        <w:t xml:space="preserve">у </w:t>
      </w:r>
      <w:r w:rsidRPr="00D221D6">
        <w:t>природничо-наукової підготовки</w:t>
      </w:r>
      <w:r>
        <w:t xml:space="preserve"> та різного складу дисциплін</w:t>
      </w:r>
      <w:r w:rsidR="00A525E0">
        <w:t xml:space="preserve"> у досліджуваних обох груп з</w:t>
      </w:r>
      <w:r>
        <w:t xml:space="preserve"> циклу п</w:t>
      </w:r>
      <w:r w:rsidRPr="00D221D6">
        <w:t>рофесійн</w:t>
      </w:r>
      <w:r>
        <w:t>ої</w:t>
      </w:r>
      <w:r w:rsidRPr="00D221D6">
        <w:t xml:space="preserve"> науково-предметн</w:t>
      </w:r>
      <w:r>
        <w:t>ої підготовки.</w:t>
      </w:r>
    </w:p>
    <w:p w:rsidR="004D1A78" w:rsidRDefault="00005576" w:rsidP="004A657F">
      <w:pPr>
        <w:spacing w:line="240" w:lineRule="auto"/>
      </w:pPr>
      <w:r>
        <w:t>Висновки. Дослідження факторів, що впливають на формування світогляду здорового способу життя за думкою майбутніх педагогів виявило найбільший ступінь впливу таких факторів, як: «</w:t>
      </w:r>
      <w:r w:rsidR="00A525E0">
        <w:t>з</w:t>
      </w:r>
      <w:r w:rsidRPr="00BA1DE3">
        <w:t>аняття в спортивних секціях</w:t>
      </w:r>
      <w:r>
        <w:t>»,</w:t>
      </w:r>
      <w:r w:rsidRPr="00005576">
        <w:t xml:space="preserve"> </w:t>
      </w:r>
      <w:r>
        <w:t>«б</w:t>
      </w:r>
      <w:r w:rsidRPr="00BA1DE3">
        <w:t>атьки</w:t>
      </w:r>
      <w:r>
        <w:t>»</w:t>
      </w:r>
      <w:r w:rsidR="00A525E0">
        <w:t xml:space="preserve"> та</w:t>
      </w:r>
      <w:r>
        <w:t xml:space="preserve"> «</w:t>
      </w:r>
      <w:r w:rsidR="00A525E0">
        <w:t>с</w:t>
      </w:r>
      <w:r w:rsidRPr="00BA1DE3">
        <w:t>посіб життя сім’ї</w:t>
      </w:r>
      <w:r w:rsidR="00A525E0">
        <w:t xml:space="preserve">». </w:t>
      </w:r>
      <w:r w:rsidR="001C1C0F">
        <w:t>М</w:t>
      </w:r>
      <w:r w:rsidR="00A525E0">
        <w:t xml:space="preserve">айбутні фахівці сфери фізичної культури і спорту, які </w:t>
      </w:r>
      <w:r w:rsidR="001C1C0F">
        <w:t>за навчальним планом оволодівають знаннями дисциплін</w:t>
      </w:r>
      <w:r w:rsidR="00A525E0">
        <w:t xml:space="preserve"> </w:t>
      </w:r>
      <w:r w:rsidR="001C1C0F">
        <w:t>ц</w:t>
      </w:r>
      <w:r w:rsidR="001C1C0F" w:rsidRPr="00D221D6">
        <w:t>икл</w:t>
      </w:r>
      <w:r w:rsidR="001C1C0F">
        <w:t xml:space="preserve">ів </w:t>
      </w:r>
      <w:r w:rsidR="001C1C0F" w:rsidRPr="00D221D6">
        <w:t xml:space="preserve">природничо-наукової </w:t>
      </w:r>
      <w:r w:rsidR="001C1C0F">
        <w:t>та п</w:t>
      </w:r>
      <w:r w:rsidR="001C1C0F" w:rsidRPr="00D221D6">
        <w:t>рофесійн</w:t>
      </w:r>
      <w:r w:rsidR="001C1C0F">
        <w:t>ої</w:t>
      </w:r>
      <w:r w:rsidR="001C1C0F" w:rsidRPr="00D221D6">
        <w:t xml:space="preserve"> науково-предметн</w:t>
      </w:r>
      <w:r w:rsidR="001C1C0F">
        <w:t xml:space="preserve">ої </w:t>
      </w:r>
      <w:r w:rsidR="001C1C0F" w:rsidRPr="00D221D6">
        <w:t>підготовки</w:t>
      </w:r>
      <w:r w:rsidR="001C1C0F">
        <w:t>,  визначають високий ступінь впливу отриманих знань, умінь та навичок у формуванні світогляду здорового способу життя.</w:t>
      </w:r>
    </w:p>
    <w:p w:rsidR="00005576" w:rsidRDefault="00005576" w:rsidP="004A657F">
      <w:pPr>
        <w:spacing w:line="240" w:lineRule="auto"/>
      </w:pPr>
    </w:p>
    <w:p w:rsidR="000E7553" w:rsidRPr="003D5C5F" w:rsidRDefault="000E7553" w:rsidP="000E7553">
      <w:pPr>
        <w:spacing w:line="240" w:lineRule="exact"/>
        <w:jc w:val="center"/>
        <w:rPr>
          <w:i/>
          <w:shd w:val="clear" w:color="auto" w:fill="FFFFFF"/>
        </w:rPr>
      </w:pPr>
      <w:r w:rsidRPr="003D5C5F">
        <w:rPr>
          <w:bCs/>
          <w:i/>
          <w:shd w:val="clear" w:color="auto" w:fill="FFFFFF"/>
        </w:rPr>
        <w:t>Література</w:t>
      </w:r>
    </w:p>
    <w:p w:rsidR="00497810" w:rsidRPr="00497810" w:rsidRDefault="00497810" w:rsidP="00497810">
      <w:pPr>
        <w:pStyle w:val="a6"/>
        <w:numPr>
          <w:ilvl w:val="0"/>
          <w:numId w:val="1"/>
        </w:numPr>
        <w:spacing w:line="240" w:lineRule="auto"/>
        <w:rPr>
          <w:color w:val="000000" w:themeColor="text1"/>
        </w:rPr>
      </w:pPr>
      <w:proofErr w:type="spellStart"/>
      <w:r w:rsidRPr="00497810">
        <w:rPr>
          <w:color w:val="000000" w:themeColor="text1"/>
          <w:shd w:val="clear" w:color="auto" w:fill="FFFFFF"/>
        </w:rPr>
        <w:t>Кабашнюк</w:t>
      </w:r>
      <w:proofErr w:type="spellEnd"/>
      <w:r w:rsidRPr="00497810">
        <w:rPr>
          <w:color w:val="000000" w:themeColor="text1"/>
          <w:shd w:val="clear" w:color="auto" w:fill="FFFFFF"/>
        </w:rPr>
        <w:t xml:space="preserve"> В. О. Стратегія формування здорового способу життя у майбутніх педагогів / В. О. </w:t>
      </w:r>
      <w:proofErr w:type="spellStart"/>
      <w:r w:rsidRPr="00497810">
        <w:rPr>
          <w:color w:val="000000" w:themeColor="text1"/>
          <w:shd w:val="clear" w:color="auto" w:fill="FFFFFF"/>
        </w:rPr>
        <w:t>Кабашнюк</w:t>
      </w:r>
      <w:proofErr w:type="spellEnd"/>
      <w:r w:rsidRPr="00497810">
        <w:rPr>
          <w:color w:val="000000" w:themeColor="text1"/>
          <w:shd w:val="clear" w:color="auto" w:fill="FFFFFF"/>
        </w:rPr>
        <w:t xml:space="preserve"> // Актуальні питання теорії та практики психолого-педагогічної підготовки майбутніх фахівців : тези </w:t>
      </w:r>
      <w:proofErr w:type="spellStart"/>
      <w:r w:rsidRPr="00497810">
        <w:rPr>
          <w:color w:val="000000" w:themeColor="text1"/>
          <w:shd w:val="clear" w:color="auto" w:fill="FFFFFF"/>
        </w:rPr>
        <w:t>доп</w:t>
      </w:r>
      <w:proofErr w:type="spellEnd"/>
      <w:r w:rsidRPr="00497810">
        <w:rPr>
          <w:color w:val="000000" w:themeColor="text1"/>
          <w:shd w:val="clear" w:color="auto" w:fill="FFFFFF"/>
        </w:rPr>
        <w:t xml:space="preserve">. VІ </w:t>
      </w:r>
      <w:proofErr w:type="spellStart"/>
      <w:r w:rsidRPr="00497810">
        <w:rPr>
          <w:color w:val="000000" w:themeColor="text1"/>
          <w:shd w:val="clear" w:color="auto" w:fill="FFFFFF"/>
        </w:rPr>
        <w:t>Всеукр</w:t>
      </w:r>
      <w:proofErr w:type="spellEnd"/>
      <w:r w:rsidRPr="00497810">
        <w:rPr>
          <w:color w:val="000000" w:themeColor="text1"/>
          <w:shd w:val="clear" w:color="auto" w:fill="FFFFFF"/>
        </w:rPr>
        <w:t xml:space="preserve">. </w:t>
      </w:r>
      <w:proofErr w:type="spellStart"/>
      <w:r w:rsidRPr="00497810">
        <w:rPr>
          <w:color w:val="000000" w:themeColor="text1"/>
          <w:shd w:val="clear" w:color="auto" w:fill="FFFFFF"/>
        </w:rPr>
        <w:t>наук.-практ</w:t>
      </w:r>
      <w:proofErr w:type="spellEnd"/>
      <w:r w:rsidRPr="00497810">
        <w:rPr>
          <w:color w:val="000000" w:themeColor="text1"/>
          <w:shd w:val="clear" w:color="auto" w:fill="FFFFFF"/>
        </w:rPr>
        <w:t xml:space="preserve">. </w:t>
      </w:r>
      <w:proofErr w:type="spellStart"/>
      <w:r w:rsidRPr="00497810">
        <w:rPr>
          <w:color w:val="000000" w:themeColor="text1"/>
          <w:shd w:val="clear" w:color="auto" w:fill="FFFFFF"/>
        </w:rPr>
        <w:t>конф</w:t>
      </w:r>
      <w:proofErr w:type="spellEnd"/>
      <w:r w:rsidRPr="00497810">
        <w:rPr>
          <w:color w:val="000000" w:themeColor="text1"/>
          <w:shd w:val="clear" w:color="auto" w:fill="FFFFFF"/>
        </w:rPr>
        <w:t xml:space="preserve">. (Хмельницький, 22–23 </w:t>
      </w:r>
      <w:proofErr w:type="spellStart"/>
      <w:r w:rsidRPr="00497810">
        <w:rPr>
          <w:color w:val="000000" w:themeColor="text1"/>
          <w:shd w:val="clear" w:color="auto" w:fill="FFFFFF"/>
        </w:rPr>
        <w:t>берез</w:t>
      </w:r>
      <w:proofErr w:type="spellEnd"/>
      <w:r w:rsidRPr="00497810">
        <w:rPr>
          <w:color w:val="000000" w:themeColor="text1"/>
          <w:shd w:val="clear" w:color="auto" w:fill="FFFFFF"/>
        </w:rPr>
        <w:t>. 2018 р.). – Хмельницький, 2018. – С. 69-72.</w:t>
      </w:r>
    </w:p>
    <w:p w:rsidR="004D1A78" w:rsidRDefault="00497810" w:rsidP="00497810">
      <w:pPr>
        <w:pStyle w:val="a6"/>
        <w:numPr>
          <w:ilvl w:val="0"/>
          <w:numId w:val="1"/>
        </w:numPr>
        <w:spacing w:line="240" w:lineRule="auto"/>
      </w:pPr>
      <w:proofErr w:type="spellStart"/>
      <w:r w:rsidRPr="003A7993">
        <w:rPr>
          <w:color w:val="000000" w:themeColor="text1"/>
          <w:shd w:val="clear" w:color="auto" w:fill="FFFFFF"/>
        </w:rPr>
        <w:t>Царук</w:t>
      </w:r>
      <w:proofErr w:type="spellEnd"/>
      <w:r w:rsidRPr="003A7993">
        <w:rPr>
          <w:color w:val="000000" w:themeColor="text1"/>
          <w:shd w:val="clear" w:color="auto" w:fill="FFFFFF"/>
        </w:rPr>
        <w:t xml:space="preserve"> В. П. Різноманітність наукових підходів до проблеми формування здорового способу життя учнів / В. П. </w:t>
      </w:r>
      <w:proofErr w:type="spellStart"/>
      <w:r w:rsidRPr="003A7993">
        <w:rPr>
          <w:color w:val="000000" w:themeColor="text1"/>
          <w:shd w:val="clear" w:color="auto" w:fill="FFFFFF"/>
        </w:rPr>
        <w:t>Царук</w:t>
      </w:r>
      <w:proofErr w:type="spellEnd"/>
      <w:r w:rsidRPr="003A7993">
        <w:rPr>
          <w:color w:val="000000" w:themeColor="text1"/>
          <w:shd w:val="clear" w:color="auto" w:fill="FFFFFF"/>
        </w:rPr>
        <w:t xml:space="preserve"> // Молодий вчений, 2018. - № 4.2(56.2) - С. 85-90.</w:t>
      </w:r>
    </w:p>
    <w:sectPr w:rsidR="004D1A78" w:rsidSect="001E6A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211F"/>
    <w:multiLevelType w:val="hybridMultilevel"/>
    <w:tmpl w:val="B4A23258"/>
    <w:lvl w:ilvl="0" w:tplc="44F4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11"/>
    <w:rsid w:val="00005576"/>
    <w:rsid w:val="000E7553"/>
    <w:rsid w:val="00146BD3"/>
    <w:rsid w:val="00147FBE"/>
    <w:rsid w:val="001C1C0F"/>
    <w:rsid w:val="001E6A3C"/>
    <w:rsid w:val="002A29C0"/>
    <w:rsid w:val="002B047B"/>
    <w:rsid w:val="00304406"/>
    <w:rsid w:val="0035259D"/>
    <w:rsid w:val="00356D11"/>
    <w:rsid w:val="003A7993"/>
    <w:rsid w:val="00497810"/>
    <w:rsid w:val="004A657F"/>
    <w:rsid w:val="004D1A78"/>
    <w:rsid w:val="005740BF"/>
    <w:rsid w:val="00682143"/>
    <w:rsid w:val="006A3616"/>
    <w:rsid w:val="006C74F6"/>
    <w:rsid w:val="00836939"/>
    <w:rsid w:val="008E4F52"/>
    <w:rsid w:val="00976B56"/>
    <w:rsid w:val="009D6937"/>
    <w:rsid w:val="00A2049B"/>
    <w:rsid w:val="00A525E0"/>
    <w:rsid w:val="00A54B07"/>
    <w:rsid w:val="00BA1DE3"/>
    <w:rsid w:val="00C520FC"/>
    <w:rsid w:val="00C8622A"/>
    <w:rsid w:val="00D221D6"/>
    <w:rsid w:val="00D66995"/>
    <w:rsid w:val="00E3150D"/>
    <w:rsid w:val="00F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11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4D1A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2018-10-30T13:41:00Z</dcterms:created>
  <dcterms:modified xsi:type="dcterms:W3CDTF">2018-11-02T05:40:00Z</dcterms:modified>
</cp:coreProperties>
</file>