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A" w:rsidRPr="00691D65" w:rsidRDefault="00126A2A" w:rsidP="00126A2A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Марчик В. І.</w:t>
      </w:r>
    </w:p>
    <w:p w:rsidR="00126A2A" w:rsidRPr="00691D65" w:rsidRDefault="00126A2A" w:rsidP="00126A2A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Криворізький державний педагогічний університет</w:t>
      </w:r>
    </w:p>
    <w:p w:rsidR="00126A2A" w:rsidRPr="00691D65" w:rsidRDefault="00126A2A" w:rsidP="00126A2A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м. Кривий Ріг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КОМПОНЕНТИ ЗДОРОВ’Я ПЕРШОКУРСНИКІВ ЗВО</w:t>
      </w: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 ЦІЛІСНІЙ МОДЕЛІ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Анотація.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Дослідження компонентів здоров’я студентів І курсу ЗВО показало, що фізичне здоров’я в цілісній моделі складає 36%, психічне здоров’я – 34%, а моральне здоров’я – 30%. Комплекс заходів спрямований на підвищення рівня морального (соціального) здоров’я буде сприяти підвищенню ефективності процесу укріплення здоров’я.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Ключові слова: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цілісна модель здоров’я, фізичне здоров’я, психічне здоров’я, моральне здоров’я, студенти.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Постановка проблеми.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державних програмно-нормативних документах з розвитку фізичної культури і спорту підкреслюється її провідна роль як важливого фактору </w:t>
      </w:r>
      <w:r w:rsidRPr="00691D6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підвищення рівня здоров’я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населення, формування світогляду здорового способу життя, гуманістичних цінностей, створення умов для всебічного гармонійного розвитку людини, сприяння досягненню фізичної та духовної досконалості людини. Дослідження механізмів взаємозв’язку психічного, фізичного і духовного здоров’я сприятиме більш повному використанню потенціалу фізичного виховання у формуванні та укріплені здоров’я підростаючого покоління.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Аналіз останніх досліджень.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Автор зазначає, що базовими компонентами благополуччя людини є фізична складова (підструктури – соматичне здоров’я, щоденна активність, вільний час), психологічна складова (емоційний стан, самооцінка), соціальна активність (взаємодія), матеріальна складова (фінансове становище, зайнятість, житлові умови), розвиток та </w:t>
      </w: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самоідентифікація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(цілі та цінності, автономність, діяльність та вибір, освіта та навички), зовнішнє середовище (права, характеристика навколишнього середовища) [3].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Здоров’я характеризує особистість у всій повноті її проявів. У феномені здоров’я відображається сутність і ціль основних біологічних і соціокультурних процесів, інтегруючих особистість. Досліджувати здоров’я як інтегративну характеристику особистості можна за допомогою застосування інтегративного підходу [5, с. 130]. Показано, що проблему здоров’я можна розглядати тільки в комплексі як інтегральну характеристику особистості. У той же час можна давати характеристику окремих рівнів індивідуального здоров’я, використовуючи відповідні показники. В узагальненому вигляді вважають критерієм для фізичного здоров’я ствердження «я можу»; для психічного – «я хочу»; для морального – «я повинен» [1]. «Я повинен» як моральний борг, на відміну від матеріального боргу, можна розглядати як вигоду, оскільки дозволяє існувати в суспільстві собі под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ібних. В цьому випадку поняття «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 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повинен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4762F">
        <w:rPr>
          <w:rFonts w:ascii="Times New Roman" w:hAnsi="Times New Roman"/>
          <w:color w:val="000000" w:themeColor="text1"/>
          <w:sz w:val="28"/>
          <w:szCs w:val="28"/>
          <w:lang w:val="uk-UA"/>
        </w:rPr>
        <w:t>набуває іншого сенсу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мені вигідно, а раз мені вигідно, то я цього хочу, тоді усі борги замінені на власні бажання [4].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Здоров’я людини є досить складною багатокомпонентною структурою, холістичний підхід дає можливість правильно оцінити загальний стан людини, роль здоров’я в її житті й адекватно підібрати найбільш ефективні способи впливу на організм [2]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Мета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роботи полягала у визначені показників компонентів фізичного, психічного і морального здоров’я першокурсників ЗВО.</w:t>
      </w:r>
    </w:p>
    <w:p w:rsidR="00126A2A" w:rsidRPr="00691D65" w:rsidRDefault="00126A2A" w:rsidP="00126A2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Організація та методи дослідження.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дослідженні, що було пров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едено в жовтні 2018 р., </w:t>
      </w:r>
      <w:r w:rsidRPr="0084762F">
        <w:rPr>
          <w:rFonts w:ascii="Times New Roman" w:hAnsi="Times New Roman"/>
          <w:color w:val="000000" w:themeColor="text1"/>
          <w:sz w:val="28"/>
          <w:szCs w:val="28"/>
          <w:lang w:val="uk-UA"/>
        </w:rPr>
        <w:t>взяли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участь студенти І курсу Криворізького державного педагогічного університету, які навчаються за спеціальністю «Середня освіта (фізична культура)» (всього 38 осіб жіночої та чоловічої статті). 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Респондентам було запропоновано анонімно висловити своє відношення до стверджень, що наведені в анкеті та зазначити одну відповідь із п’яти варіантів (дуже часто, часто, іноді, рідко, ніколи). Компоненти здоров’я оцінювали за визначенням окремих рівнів індивідуального здоров’я із використанням запропонованих узагальнених критеріїв [см. 2]. Фізичне здоров’я оцінювали за результатами вибору «Відчуваю, що я можу зробити (мати або бути)». Психічне здоров’я оцінювали за результатами вибору «Відчуваю, що я хочу зробити (мати або бути)». Моральне здоров’я оцінювали за результатами вибору «Відчуваю, що я повинна зробити (мати або бути)».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Порівняння результатів здійснювали за вибором «дуже часто» і «часто», так як вони більш характеризує поведінкову сутність респондента.</w:t>
      </w: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Показники компонентів здоров’я визначали у відсотках, виходячи з того, що в ідеальній моделі всі умовні складові повинні займати рівні частини, що як раз і свідчить про повноцінне здоров’я.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Результати дослідження та їх обговорення.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Аналіз оцінювання фізичного рівня індивідуального здоров’я за відчуттям «Я можу зробити» показав, що переважна більшість респондентів (84%) зазначили свій вибір як «дуже часто» і «часто» (рис.1). 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691D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55581" cy="1562986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1. Рівні індивідуального здоров’я студентів.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Психічний рівень індивідуального здоров’я за відчуттям «Я хочу зробити» вибір «дуже часто» і «часто» зазначили 76% студентів, моральний рівень індивідуального здоров’я за відчуттям «Я повинна зробити» виявлено в 68% респондентів. </w:t>
      </w: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</w:t>
      </w:r>
      <w:r w:rsidRPr="00691D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12781" cy="1414130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Рис. 2. Показники компонентів здоров’я в цілісній моделі.</w:t>
      </w: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6A2A" w:rsidRPr="00691D65" w:rsidRDefault="00126A2A" w:rsidP="00126A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Виявлення співвідношення компонентів здоров’я між собою показало наступне. Як видно з рис. 2 в цілісній моделі показники мають приблизно рівні значення, показник психічного здоров’я займає як раз третину, а показник морального здоров’я є меншим за рахунок збільшення показника фізичного здоров’я.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 такому випадку п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ідвищення рівня морального здоров’я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стає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одним із перспективних резервів у реалізації укріплення здоров’я. </w:t>
      </w: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Висновки</w:t>
      </w:r>
    </w:p>
    <w:p w:rsidR="00126A2A" w:rsidRPr="00691D65" w:rsidRDefault="00126A2A" w:rsidP="00126A2A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За результатами дослідження індивідуальних рівнів здоров’я студентів 1 курсу ЗВО визначено показники компонентів здоров’я, за якими фізичне здоров’я складає 37%, психічне здоров’я - 33%, моральне здоров’я - 30% в цілісній моделі здоров’я.</w:t>
      </w:r>
    </w:p>
    <w:p w:rsidR="00126A2A" w:rsidRPr="00691D65" w:rsidRDefault="00126A2A" w:rsidP="00126A2A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Визначені різні за значенням компоненти здоров’я першокурсників вказують на період адаптації до нових умов навчання і пристосування до студентського середовища. В цьому аспекті можна констатувати, що слабкіший рівень морального здоров’я через </w:t>
      </w: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психо-вегетативні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функції може спричинити загрозу фізичному здоров’ю, тому студенти 1 курсу потребують уваги викладацького складу та додаткових виховних заходів, спрямованих на підвищення рівня морального (соціального) здоров’я.</w:t>
      </w:r>
    </w:p>
    <w:p w:rsidR="00126A2A" w:rsidRPr="00691D65" w:rsidRDefault="00126A2A" w:rsidP="00126A2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126A2A" w:rsidRPr="00691D65" w:rsidRDefault="00126A2A" w:rsidP="00126A2A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Лекції з валеології [Електронний ресурс]. 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Режим доступу: </w:t>
      </w:r>
    </w:p>
    <w:p w:rsidR="00126A2A" w:rsidRPr="00691D65" w:rsidRDefault="00126A2A" w:rsidP="00126A2A">
      <w:p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7" w:history="1">
        <w:r w:rsidRPr="00691D65">
          <w:rPr>
            <w:rStyle w:val="a4"/>
            <w:rFonts w:ascii="Times New Roman" w:hAnsi="Times New Roman"/>
            <w:sz w:val="28"/>
            <w:szCs w:val="28"/>
            <w:lang w:val="uk-UA"/>
          </w:rPr>
          <w:t>http://uadoc.zavantag.com/text/5793/index-1.html</w:t>
        </w:r>
      </w:hyperlink>
    </w:p>
    <w:p w:rsidR="00126A2A" w:rsidRPr="00691D65" w:rsidRDefault="00126A2A" w:rsidP="00126A2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Омельченко Т. Ефективність холістичного підходу до корекції фізичного стану людини </w:t>
      </w:r>
      <w:r w:rsidRPr="00691D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/ 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Тетяна</w:t>
      </w:r>
      <w:r w:rsidRPr="00691D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Омельченко</w:t>
      </w:r>
      <w:r w:rsidRPr="00691D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// Фізична культура, спорт та здоров'я нації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– Вінниця: ВДПУ ім. М. Коцюбинського, 2016. – Вип. 20. – С. 133-137.</w:t>
      </w:r>
    </w:p>
    <w:p w:rsidR="00126A2A" w:rsidRPr="00691D65" w:rsidRDefault="00126A2A" w:rsidP="00126A2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Павлова Ю. Структура якості життя населення /  Юлія Павлова</w:t>
      </w:r>
      <w:r w:rsidRPr="00691D65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// Слобожанський науково-спортивний вісник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 – Харків : ХДАФК, 2015. – Вип. 5. –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 90</w:t>
      </w:r>
      <w:r w:rsidRPr="00691D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94.</w:t>
      </w:r>
    </w:p>
    <w:p w:rsidR="00126A2A" w:rsidRPr="00691D65" w:rsidRDefault="00126A2A" w:rsidP="00126A2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Паламонов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И. Я </w:t>
      </w: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должен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[Електронний ресурс] / </w:t>
      </w: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Ігорь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>Паламонов</w:t>
      </w:r>
      <w:proofErr w:type="spellEnd"/>
      <w:r w:rsidRPr="00691D6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- Режим доступу: </w:t>
      </w:r>
      <w:hyperlink r:id="rId8" w:history="1">
        <w:r w:rsidRPr="00691D65">
          <w:rPr>
            <w:rStyle w:val="a4"/>
            <w:rFonts w:ascii="Times New Roman" w:hAnsi="Times New Roman"/>
            <w:sz w:val="28"/>
            <w:szCs w:val="28"/>
            <w:lang w:val="uk-UA"/>
          </w:rPr>
          <w:t>http://belkon.ru/content/view/374/9/</w:t>
        </w:r>
      </w:hyperlink>
    </w:p>
    <w:p w:rsidR="00126A2A" w:rsidRPr="00126A2A" w:rsidRDefault="00126A2A" w:rsidP="00126A2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126A2A">
        <w:rPr>
          <w:rFonts w:ascii="Times New Roman" w:hAnsi="Times New Roman"/>
          <w:color w:val="000000" w:themeColor="text1"/>
          <w:sz w:val="28"/>
          <w:szCs w:val="28"/>
          <w:lang w:val="uk-UA"/>
        </w:rPr>
        <w:t>Чаплигін В. П. Психолого-педагогічні аспекти побудови моделі здорової особистості / В. П. Чаплигін, В. І Терещенко // Науковий часопис НПУ ім. М. П. Драгоманова. – Київ: НПУ ім. М. П. Драгоманова, 2017. – Вип. 4 (85). – С. 127</w:t>
      </w:r>
      <w:r w:rsidRPr="00126A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126A2A">
        <w:rPr>
          <w:rFonts w:ascii="Times New Roman" w:hAnsi="Times New Roman"/>
          <w:color w:val="000000" w:themeColor="text1"/>
          <w:sz w:val="28"/>
          <w:szCs w:val="28"/>
          <w:lang w:val="uk-UA"/>
        </w:rPr>
        <w:t>130.</w:t>
      </w:r>
    </w:p>
    <w:p w:rsidR="00147FBE" w:rsidRPr="00126A2A" w:rsidRDefault="00147FBE">
      <w:pPr>
        <w:rPr>
          <w:lang w:val="uk-UA"/>
        </w:rPr>
      </w:pPr>
    </w:p>
    <w:sectPr w:rsidR="00147FBE" w:rsidRPr="00126A2A" w:rsidSect="00126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F1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782883"/>
    <w:multiLevelType w:val="hybridMultilevel"/>
    <w:tmpl w:val="A0821B74"/>
    <w:lvl w:ilvl="0" w:tplc="125E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A2A"/>
    <w:rsid w:val="0011513A"/>
    <w:rsid w:val="00126A2A"/>
    <w:rsid w:val="00147FBE"/>
    <w:rsid w:val="0035259D"/>
    <w:rsid w:val="006A3616"/>
    <w:rsid w:val="008C62A5"/>
    <w:rsid w:val="00BC3A2F"/>
    <w:rsid w:val="00D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A2F"/>
    <w:rPr>
      <w:b/>
      <w:bCs/>
    </w:rPr>
  </w:style>
  <w:style w:type="character" w:styleId="a4">
    <w:name w:val="Hyperlink"/>
    <w:uiPriority w:val="99"/>
    <w:unhideWhenUsed/>
    <w:rsid w:val="00126A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6A2A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kon.ru/content/view/374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doc.zavantag.com/text/5793/index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446601941748036"/>
          <c:y val="0.13186813186813451"/>
          <c:w val="0.37864077669903384"/>
          <c:h val="0.714285714285714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Фізичний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Психічний</c:v>
                </c:pt>
              </c:strCache>
            </c:strRef>
          </c:tx>
          <c:spPr>
            <a:solidFill>
              <a:srgbClr val="FF00FF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0.76000000000000789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Моральний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Lbls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dLbls>
          <c:showVal val="1"/>
        </c:dLbls>
        <c:axId val="97946624"/>
        <c:axId val="97977088"/>
      </c:barChart>
      <c:catAx>
        <c:axId val="97946624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7977088"/>
        <c:crosses val="autoZero"/>
        <c:lblAlgn val="ctr"/>
        <c:lblOffset val="100"/>
        <c:tickLblSkip val="1"/>
        <c:tickMarkSkip val="1"/>
      </c:catAx>
      <c:valAx>
        <c:axId val="97977088"/>
        <c:scaling>
          <c:orientation val="minMax"/>
        </c:scaling>
        <c:axPos val="l"/>
        <c:numFmt formatCode="0%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7946624"/>
        <c:crosses val="autoZero"/>
        <c:crossBetween val="between"/>
      </c:valAx>
      <c:spPr>
        <a:solidFill>
          <a:srgbClr val="FFFFFF"/>
        </a:solidFill>
        <a:ln w="25338">
          <a:noFill/>
        </a:ln>
      </c:spPr>
    </c:plotArea>
    <c:legend>
      <c:legendPos val="r"/>
      <c:layout>
        <c:manualLayout>
          <c:xMode val="edge"/>
          <c:yMode val="edge"/>
          <c:x val="0.6456309749602468"/>
          <c:y val="0.24725274725274726"/>
          <c:w val="0.25000006386063461"/>
          <c:h val="0.40109890109890511"/>
        </c:manualLayout>
      </c:layout>
      <c:spPr>
        <a:noFill/>
        <a:ln w="3168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89833620582835"/>
          <c:y val="0.13394216133942513"/>
          <c:w val="0.37553648068669532"/>
          <c:h val="0.799086757990867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7030A0"/>
                </a:solidFill>
              </a:ln>
            </c:spPr>
          </c:dPt>
          <c:dPt>
            <c:idx val="1"/>
            <c:spPr>
              <a:solidFill>
                <a:srgbClr val="FF00FF"/>
              </a:solidFill>
              <a:ln>
                <a:solidFill>
                  <a:srgbClr val="7030A0"/>
                </a:solidFill>
              </a:ln>
            </c:spPr>
          </c:dPt>
          <c:dPt>
            <c:idx val="2"/>
            <c:spPr>
              <a:solidFill>
                <a:srgbClr val="FFFFCC"/>
              </a:solidFill>
              <a:ln>
                <a:solidFill>
                  <a:srgbClr val="7030A0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Фізичне здоров'я</c:v>
                </c:pt>
                <c:pt idx="1">
                  <c:v>Психічне здоров'я</c:v>
                </c:pt>
                <c:pt idx="2">
                  <c:v>Моральне здоров'я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0.33000000000000418</c:v>
                </c:pt>
                <c:pt idx="2">
                  <c:v>0.30000000000000032</c:v>
                </c:pt>
              </c:numCache>
            </c:numRef>
          </c:val>
        </c:ser>
        <c:firstSliceAng val="0"/>
      </c:pieChart>
      <c:spPr>
        <a:noFill/>
        <a:ln w="25366">
          <a:noFill/>
        </a:ln>
      </c:spPr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 sz="10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2018-12-18T15:55:00Z</dcterms:created>
  <dcterms:modified xsi:type="dcterms:W3CDTF">2018-12-18T15:57:00Z</dcterms:modified>
</cp:coreProperties>
</file>